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B" w:rsidRPr="008F74FB" w:rsidRDefault="008F74FB" w:rsidP="008F74FB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8F74FB">
        <w:rPr>
          <w:b/>
          <w:u w:val="single"/>
        </w:rPr>
        <w:t>Lettre</w:t>
      </w:r>
      <w:proofErr w:type="spellEnd"/>
      <w:r w:rsidRPr="008F74FB">
        <w:rPr>
          <w:b/>
          <w:u w:val="single"/>
        </w:rPr>
        <w:t xml:space="preserve"> </w:t>
      </w:r>
      <w:proofErr w:type="spellStart"/>
      <w:r w:rsidRPr="008F74FB">
        <w:rPr>
          <w:b/>
          <w:u w:val="single"/>
        </w:rPr>
        <w:t>d’accompagnement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C15B72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 xml:space="preserve">cocher le(s) domaines pour lequel vous soumissionnez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un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 xml:space="preserve">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6F3170" w:rsidRDefault="006F3170" w:rsidP="006F3170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COMPOSANTE 1 :</w:t>
            </w:r>
          </w:p>
          <w:p w:rsidR="006F3170" w:rsidRDefault="006F3170" w:rsidP="006F3170">
            <w:pPr>
              <w:rPr>
                <w:b/>
                <w:u w:val="single"/>
                <w:lang w:val="fr-FR"/>
              </w:rPr>
            </w:pPr>
            <w:r w:rsidRPr="00DA306B">
              <w:rPr>
                <w:b/>
                <w:u w:val="single"/>
                <w:lang w:val="fr-FR"/>
              </w:rPr>
              <w:t>SC 1.1 - Campagne médiatique régionale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992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7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Communication institutionnelle/plaidoyer/partenariat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866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 xml:space="preserve">Communication pour un changement social et  comportement 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486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 xml:space="preserve">Journalisme écrit, photo, vidéo, multimédia et </w:t>
            </w:r>
            <w:proofErr w:type="spellStart"/>
            <w:r w:rsidR="00C15B72" w:rsidRPr="00C15B72">
              <w:rPr>
                <w:lang w:val="fr-FR"/>
              </w:rPr>
              <w:t>edition</w:t>
            </w:r>
            <w:proofErr w:type="spellEnd"/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124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 xml:space="preserve">Production multimédia  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458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Marketing social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484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Suivi et évaluation des activités de communication et mass média</w:t>
            </w:r>
          </w:p>
          <w:p w:rsid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5932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Innovations, incubateurs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782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Cartographie des compétences</w:t>
            </w:r>
          </w:p>
          <w:p w:rsidR="006F3170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972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Documentation des meilleures pratiques</w:t>
            </w:r>
          </w:p>
          <w:p w:rsidR="00C15B72" w:rsidRPr="00DA306B" w:rsidRDefault="00C15B72" w:rsidP="00C15B72">
            <w:pPr>
              <w:rPr>
                <w:lang w:val="fr-FR"/>
              </w:rPr>
            </w:pPr>
          </w:p>
          <w:p w:rsidR="006F3170" w:rsidRPr="00DA306B" w:rsidRDefault="006F3170" w:rsidP="006F3170">
            <w:pPr>
              <w:rPr>
                <w:b/>
                <w:u w:val="single"/>
                <w:lang w:val="fr-FR"/>
              </w:rPr>
            </w:pPr>
            <w:r w:rsidRPr="00DA306B">
              <w:rPr>
                <w:b/>
                <w:u w:val="single"/>
                <w:lang w:val="fr-FR"/>
              </w:rPr>
              <w:t>SC 1.2 - Assistance technique pour l'autonomisation des femmes et des filles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22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Développement du programme d'études (programmation centrée sur les filles, compétences professionnelles et de vie, éducation sexuelle complète)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866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Espaces sûrs pour les jeunes filles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166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Maintien des filles à l'école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045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 xml:space="preserve">Application des </w:t>
            </w:r>
            <w:proofErr w:type="spellStart"/>
            <w:r w:rsidR="00C15B72" w:rsidRPr="00C15B72">
              <w:rPr>
                <w:lang w:val="fr-FR"/>
              </w:rPr>
              <w:t>TICs</w:t>
            </w:r>
            <w:proofErr w:type="spellEnd"/>
            <w:r w:rsidR="00C15B72" w:rsidRPr="00C15B72">
              <w:rPr>
                <w:lang w:val="fr-FR"/>
              </w:rPr>
              <w:t xml:space="preserve"> pour la scénarisation de l’éducation complète à la sexualité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096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Développement des curricula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6719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Evaluation d’impact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321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Mise en œuvre des interventions de scolarisation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00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 xml:space="preserve">Genre 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304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Autonomisation économique</w:t>
            </w:r>
          </w:p>
          <w:p w:rsidR="00C15B72" w:rsidRPr="00C15B72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401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Activité génératrices de revenu</w:t>
            </w:r>
          </w:p>
          <w:p w:rsidR="0008584D" w:rsidRDefault="00D248CB" w:rsidP="00C15B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389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15B72" w:rsidRPr="00C15B72">
              <w:rPr>
                <w:lang w:val="fr-FR"/>
              </w:rPr>
              <w:t>Education complète à la sexualité</w:t>
            </w:r>
          </w:p>
          <w:p w:rsidR="00C15B72" w:rsidRPr="0008584D" w:rsidRDefault="00C15B72" w:rsidP="00C15B72">
            <w:pPr>
              <w:rPr>
                <w:lang w:val="fr-FR"/>
              </w:rPr>
            </w:pPr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CB" w:rsidRDefault="00D248CB" w:rsidP="00763214">
      <w:pPr>
        <w:spacing w:after="0" w:line="240" w:lineRule="auto"/>
      </w:pPr>
      <w:r>
        <w:separator/>
      </w:r>
    </w:p>
  </w:endnote>
  <w:endnote w:type="continuationSeparator" w:id="0">
    <w:p w:rsidR="00D248CB" w:rsidRDefault="00D248CB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CB" w:rsidRDefault="00D248CB" w:rsidP="00763214">
      <w:pPr>
        <w:spacing w:after="0" w:line="240" w:lineRule="auto"/>
      </w:pPr>
      <w:r>
        <w:separator/>
      </w:r>
    </w:p>
  </w:footnote>
  <w:footnote w:type="continuationSeparator" w:id="0">
    <w:p w:rsidR="00D248CB" w:rsidRDefault="00D248CB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  <w:lang w:val="fr-FR" w:eastAsia="fr-FR"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D3C"/>
    <w:multiLevelType w:val="hybridMultilevel"/>
    <w:tmpl w:val="21A03D56"/>
    <w:lvl w:ilvl="0" w:tplc="6B94A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D"/>
    <w:rsid w:val="00063FB0"/>
    <w:rsid w:val="0008584D"/>
    <w:rsid w:val="000D72BA"/>
    <w:rsid w:val="00342ED8"/>
    <w:rsid w:val="003B7CCC"/>
    <w:rsid w:val="003E0F23"/>
    <w:rsid w:val="005D2425"/>
    <w:rsid w:val="006F3170"/>
    <w:rsid w:val="00763214"/>
    <w:rsid w:val="008F74FB"/>
    <w:rsid w:val="00914F85"/>
    <w:rsid w:val="009569CF"/>
    <w:rsid w:val="00B57A95"/>
    <w:rsid w:val="00C15B72"/>
    <w:rsid w:val="00D248CB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15B72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ListParagraphChar">
    <w:name w:val="List Paragraph Char"/>
    <w:aliases w:val="Bullets Char"/>
    <w:link w:val="ListParagraph"/>
    <w:uiPriority w:val="34"/>
    <w:rsid w:val="00C15B72"/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C15B72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ListParagraphChar">
    <w:name w:val="List Paragraph Char"/>
    <w:aliases w:val="Bullets Char"/>
    <w:link w:val="ListParagraph"/>
    <w:uiPriority w:val="34"/>
    <w:rsid w:val="00C15B7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User</cp:lastModifiedBy>
  <cp:revision>2</cp:revision>
  <dcterms:created xsi:type="dcterms:W3CDTF">2020-07-06T16:41:00Z</dcterms:created>
  <dcterms:modified xsi:type="dcterms:W3CDTF">2020-07-06T16:41:00Z</dcterms:modified>
</cp:coreProperties>
</file>