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64DD" w14:textId="48647C84" w:rsidR="00453FEE" w:rsidRPr="0070368C" w:rsidRDefault="008A612A" w:rsidP="0070368C">
      <w:pPr>
        <w:tabs>
          <w:tab w:val="left" w:pos="-720"/>
        </w:tabs>
        <w:suppressAutoHyphens/>
        <w:spacing w:before="120" w:after="120" w:line="240" w:lineRule="auto"/>
        <w:jc w:val="center"/>
        <w:rPr>
          <w:rFonts w:ascii="Calibri" w:hAnsi="Calibri" w:cs="Calibri"/>
          <w:b/>
        </w:rPr>
      </w:pPr>
      <w:r>
        <w:rPr>
          <w:rFonts w:ascii="Calibri" w:hAnsi="Calibri" w:cs="Calibri"/>
          <w:b/>
        </w:rPr>
        <w:t xml:space="preserve">APPELS A CANDIDATURES POUR LA </w:t>
      </w:r>
      <w:r w:rsidR="00641771">
        <w:rPr>
          <w:rFonts w:ascii="Calibri" w:hAnsi="Calibri" w:cs="Calibri"/>
          <w:b/>
        </w:rPr>
        <w:t>SELECTION DE</w:t>
      </w:r>
      <w:r w:rsidRPr="0000288C">
        <w:rPr>
          <w:rFonts w:ascii="Calibri" w:hAnsi="Calibri" w:cs="Calibri"/>
          <w:b/>
        </w:rPr>
        <w:t xml:space="preserve"> CONSULTANTS </w:t>
      </w:r>
      <w:r>
        <w:rPr>
          <w:rFonts w:ascii="Calibri" w:hAnsi="Calibri" w:cs="Calibri"/>
          <w:b/>
        </w:rPr>
        <w:t>INDIVIDUELS</w:t>
      </w:r>
      <w:r w:rsidR="00641771">
        <w:rPr>
          <w:rFonts w:ascii="Calibri" w:hAnsi="Calibri" w:cs="Calibri"/>
          <w:b/>
        </w:rPr>
        <w:t xml:space="preserve"> POUR </w:t>
      </w:r>
      <w:r w:rsidR="0070368C">
        <w:rPr>
          <w:rFonts w:ascii="Calibri" w:hAnsi="Calibri" w:cs="Calibri"/>
          <w:b/>
        </w:rPr>
        <w:br/>
      </w:r>
      <w:r w:rsidR="00641771">
        <w:rPr>
          <w:rFonts w:ascii="Calibri" w:hAnsi="Calibri" w:cs="Calibri"/>
          <w:b/>
        </w:rPr>
        <w:t>L’</w:t>
      </w:r>
      <w:r w:rsidRPr="0000288C">
        <w:rPr>
          <w:rFonts w:ascii="Calibri" w:hAnsi="Calibri" w:cs="Calibri"/>
          <w:b/>
        </w:rPr>
        <w:t>ASSISTANCE TECHNIQUE AU PROJET SWEDD</w:t>
      </w:r>
      <w:r>
        <w:rPr>
          <w:rFonts w:ascii="Calibri" w:hAnsi="Calibri" w:cs="Calibri"/>
          <w:b/>
        </w:rPr>
        <w:t xml:space="preserve"> </w:t>
      </w:r>
    </w:p>
    <w:p w14:paraId="24C52829" w14:textId="77777777" w:rsidR="0000288C" w:rsidRDefault="0000288C" w:rsidP="004F25D7">
      <w:pPr>
        <w:tabs>
          <w:tab w:val="left" w:pos="-720"/>
        </w:tabs>
        <w:suppressAutoHyphens/>
        <w:spacing w:before="120" w:after="120" w:line="240" w:lineRule="auto"/>
        <w:jc w:val="both"/>
        <w:rPr>
          <w:rFonts w:ascii="Calibri" w:hAnsi="Calibri" w:cs="Calibri"/>
        </w:rPr>
      </w:pPr>
    </w:p>
    <w:p w14:paraId="4B8B0103" w14:textId="77777777" w:rsidR="004F0B6D" w:rsidRDefault="004F0B6D" w:rsidP="004F25D7">
      <w:pPr>
        <w:pStyle w:val="ListParagraph"/>
        <w:numPr>
          <w:ilvl w:val="0"/>
          <w:numId w:val="2"/>
        </w:numPr>
        <w:spacing w:line="240" w:lineRule="auto"/>
        <w:jc w:val="both"/>
        <w:rPr>
          <w:b/>
        </w:rPr>
      </w:pPr>
      <w:r>
        <w:rPr>
          <w:b/>
        </w:rPr>
        <w:t>OBJECTIF</w:t>
      </w:r>
    </w:p>
    <w:p w14:paraId="2EB2BBB0" w14:textId="32AE91A6" w:rsidR="003B53F2" w:rsidRDefault="00641771" w:rsidP="004F25D7">
      <w:pPr>
        <w:spacing w:line="240" w:lineRule="auto"/>
        <w:jc w:val="both"/>
      </w:pPr>
      <w:r>
        <w:t>Mettre</w:t>
      </w:r>
      <w:r w:rsidR="002525CF">
        <w:t xml:space="preserve"> </w:t>
      </w:r>
      <w:r w:rsidR="00AC416B">
        <w:t xml:space="preserve">à jour </w:t>
      </w:r>
      <w:r>
        <w:t>la base de données</w:t>
      </w:r>
      <w:r w:rsidR="00AC416B">
        <w:t xml:space="preserve">  des personnes ressources </w:t>
      </w:r>
      <w:r w:rsidR="003A7F04">
        <w:t xml:space="preserve">au </w:t>
      </w:r>
      <w:r w:rsidR="002525CF">
        <w:t>profit de différentes composantes</w:t>
      </w:r>
      <w:r w:rsidR="003A7F04">
        <w:t xml:space="preserve"> du projet. </w:t>
      </w:r>
    </w:p>
    <w:p w14:paraId="6D52B6D3" w14:textId="72D5DDAE" w:rsidR="006761DD" w:rsidRPr="000053FD" w:rsidRDefault="00AC416B" w:rsidP="000053FD">
      <w:pPr>
        <w:pStyle w:val="ListParagraph"/>
        <w:numPr>
          <w:ilvl w:val="0"/>
          <w:numId w:val="2"/>
        </w:numPr>
        <w:spacing w:line="240" w:lineRule="auto"/>
        <w:rPr>
          <w:b/>
        </w:rPr>
      </w:pPr>
      <w:r>
        <w:rPr>
          <w:b/>
        </w:rPr>
        <w:t>DESCRIPTIF DU PROJET</w:t>
      </w:r>
      <w:r w:rsidR="006761DD" w:rsidRPr="000053FD">
        <w:rPr>
          <w:b/>
        </w:rPr>
        <w:t xml:space="preserve"> </w:t>
      </w:r>
      <w:r w:rsidR="006F7EC1">
        <w:rPr>
          <w:b/>
        </w:rPr>
        <w:t>SWEDD</w:t>
      </w:r>
    </w:p>
    <w:p w14:paraId="545AE9E9" w14:textId="34C8FCE3" w:rsidR="00AC416B" w:rsidRDefault="00AC416B" w:rsidP="0034731F">
      <w:pPr>
        <w:tabs>
          <w:tab w:val="left" w:pos="-720"/>
        </w:tabs>
        <w:suppressAutoHyphens/>
        <w:spacing w:before="120" w:after="120" w:line="240" w:lineRule="auto"/>
        <w:jc w:val="both"/>
        <w:rPr>
          <w:rFonts w:ascii="Calibri" w:hAnsi="Calibri" w:cs="Calibri"/>
        </w:rPr>
      </w:pPr>
      <w:r w:rsidRPr="00EA24EF">
        <w:rPr>
          <w:rFonts w:ascii="Calibri" w:hAnsi="Calibri" w:cs="Calibri"/>
        </w:rPr>
        <w:t xml:space="preserve">Le projet </w:t>
      </w:r>
      <w:r>
        <w:rPr>
          <w:rFonts w:ascii="Calibri" w:hAnsi="Calibri" w:cs="Calibri"/>
        </w:rPr>
        <w:t>d’Autonomisation des Femmes et l</w:t>
      </w:r>
      <w:r w:rsidRPr="00EA24EF">
        <w:rPr>
          <w:rFonts w:ascii="Calibri" w:hAnsi="Calibri" w:cs="Calibri"/>
        </w:rPr>
        <w:t>e Dividende Démographique au Sahel (SWEDD)</w:t>
      </w:r>
      <w:r>
        <w:rPr>
          <w:rFonts w:ascii="Calibri" w:hAnsi="Calibri" w:cs="Calibri"/>
        </w:rPr>
        <w:t xml:space="preserve"> </w:t>
      </w:r>
      <w:r w:rsidR="00641771">
        <w:rPr>
          <w:rFonts w:ascii="Calibri" w:hAnsi="Calibri" w:cs="Calibri"/>
        </w:rPr>
        <w:t xml:space="preserve">vise </w:t>
      </w:r>
      <w:r>
        <w:rPr>
          <w:rFonts w:ascii="Calibri" w:hAnsi="Calibri" w:cs="Calibri"/>
        </w:rPr>
        <w:t>à</w:t>
      </w:r>
      <w:r w:rsidRPr="00EA24EF">
        <w:rPr>
          <w:rFonts w:ascii="Calibri" w:hAnsi="Calibri" w:cs="Calibri"/>
        </w:rPr>
        <w:t xml:space="preserve"> renforcer l'autonomisation des femmes en vue d’accélérer la transition démographique dans </w:t>
      </w:r>
      <w:r w:rsidR="00641771">
        <w:rPr>
          <w:rFonts w:ascii="Calibri" w:hAnsi="Calibri" w:cs="Calibri"/>
        </w:rPr>
        <w:t>les pays membre à savoi</w:t>
      </w:r>
      <w:r w:rsidR="002525CF">
        <w:rPr>
          <w:rFonts w:ascii="Calibri" w:hAnsi="Calibri" w:cs="Calibri"/>
        </w:rPr>
        <w:t>r</w:t>
      </w:r>
      <w:r w:rsidR="00641771">
        <w:rPr>
          <w:rFonts w:ascii="Calibri" w:hAnsi="Calibri" w:cs="Calibri"/>
        </w:rPr>
        <w:t xml:space="preserve"> </w:t>
      </w:r>
      <w:r>
        <w:rPr>
          <w:rFonts w:ascii="Calibri" w:hAnsi="Calibri" w:cs="Calibri"/>
        </w:rPr>
        <w:t xml:space="preserve">: le Bénin, le </w:t>
      </w:r>
      <w:r w:rsidRPr="00EA24EF">
        <w:rPr>
          <w:rFonts w:ascii="Calibri" w:hAnsi="Calibri" w:cs="Calibri"/>
        </w:rPr>
        <w:t xml:space="preserve">Burkina Faso, </w:t>
      </w:r>
      <w:r>
        <w:rPr>
          <w:rFonts w:ascii="Calibri" w:hAnsi="Calibri" w:cs="Calibri"/>
        </w:rPr>
        <w:t xml:space="preserve">le Cameroun, la </w:t>
      </w:r>
      <w:r w:rsidRPr="00EA24EF">
        <w:rPr>
          <w:rFonts w:ascii="Calibri" w:hAnsi="Calibri" w:cs="Calibri"/>
        </w:rPr>
        <w:t xml:space="preserve">Côte d’Ivoire, </w:t>
      </w:r>
      <w:r>
        <w:rPr>
          <w:rFonts w:ascii="Calibri" w:hAnsi="Calibri" w:cs="Calibri"/>
        </w:rPr>
        <w:t xml:space="preserve">la Guinée, le </w:t>
      </w:r>
      <w:r w:rsidRPr="00EA24EF">
        <w:rPr>
          <w:rFonts w:ascii="Calibri" w:hAnsi="Calibri" w:cs="Calibri"/>
        </w:rPr>
        <w:t xml:space="preserve">Mali, </w:t>
      </w:r>
      <w:r>
        <w:rPr>
          <w:rFonts w:ascii="Calibri" w:hAnsi="Calibri" w:cs="Calibri"/>
        </w:rPr>
        <w:t xml:space="preserve">la </w:t>
      </w:r>
      <w:r w:rsidRPr="00EA24EF">
        <w:rPr>
          <w:rFonts w:ascii="Calibri" w:hAnsi="Calibri" w:cs="Calibri"/>
        </w:rPr>
        <w:t xml:space="preserve">Mauritanie, </w:t>
      </w:r>
      <w:r>
        <w:rPr>
          <w:rFonts w:ascii="Calibri" w:hAnsi="Calibri" w:cs="Calibri"/>
        </w:rPr>
        <w:t xml:space="preserve">le </w:t>
      </w:r>
      <w:r w:rsidRPr="00EA24EF">
        <w:rPr>
          <w:rFonts w:ascii="Calibri" w:hAnsi="Calibri" w:cs="Calibri"/>
        </w:rPr>
        <w:t xml:space="preserve">Niger et </w:t>
      </w:r>
      <w:r>
        <w:rPr>
          <w:rFonts w:ascii="Calibri" w:hAnsi="Calibri" w:cs="Calibri"/>
        </w:rPr>
        <w:t>le Tchad.</w:t>
      </w:r>
      <w:r w:rsidR="002525CF">
        <w:rPr>
          <w:rFonts w:ascii="Calibri" w:hAnsi="Calibri" w:cs="Calibri"/>
        </w:rPr>
        <w:t xml:space="preserve"> L</w:t>
      </w:r>
      <w:r>
        <w:rPr>
          <w:rFonts w:ascii="Calibri" w:hAnsi="Calibri" w:cs="Calibri"/>
        </w:rPr>
        <w:t xml:space="preserve">e </w:t>
      </w:r>
      <w:r w:rsidRPr="00EA24EF">
        <w:rPr>
          <w:rFonts w:ascii="Calibri" w:hAnsi="Calibri" w:cs="Calibri"/>
        </w:rPr>
        <w:t>projet s’articule autour de trois</w:t>
      </w:r>
      <w:r w:rsidR="00641771">
        <w:rPr>
          <w:rFonts w:ascii="Calibri" w:hAnsi="Calibri" w:cs="Calibri"/>
        </w:rPr>
        <w:t xml:space="preserve"> (03)</w:t>
      </w:r>
      <w:r w:rsidRPr="00EA24EF">
        <w:rPr>
          <w:rFonts w:ascii="Calibri" w:hAnsi="Calibri" w:cs="Calibri"/>
        </w:rPr>
        <w:t xml:space="preserve">: </w:t>
      </w:r>
    </w:p>
    <w:p w14:paraId="3ECC6A3C" w14:textId="009E0DBE" w:rsidR="00AC416B" w:rsidRPr="0000288C" w:rsidRDefault="00641771" w:rsidP="0034731F">
      <w:pPr>
        <w:pStyle w:val="ListParagraph"/>
        <w:numPr>
          <w:ilvl w:val="0"/>
          <w:numId w:val="1"/>
        </w:numPr>
        <w:tabs>
          <w:tab w:val="left" w:pos="-720"/>
        </w:tabs>
        <w:suppressAutoHyphens/>
        <w:spacing w:before="120" w:after="120" w:line="240" w:lineRule="auto"/>
        <w:jc w:val="both"/>
        <w:rPr>
          <w:rFonts w:cs="Calibri"/>
        </w:rPr>
      </w:pPr>
      <w:r>
        <w:rPr>
          <w:rFonts w:cs="Calibri"/>
          <w:lang w:val="fr-CA"/>
        </w:rPr>
        <w:t>C</w:t>
      </w:r>
      <w:proofErr w:type="spellStart"/>
      <w:r w:rsidR="00AC416B" w:rsidRPr="00532143">
        <w:rPr>
          <w:rFonts w:cs="Calibri"/>
        </w:rPr>
        <w:t>omposante</w:t>
      </w:r>
      <w:proofErr w:type="spellEnd"/>
      <w:r w:rsidR="00AC416B" w:rsidRPr="00532143">
        <w:rPr>
          <w:rFonts w:cs="Calibri"/>
        </w:rPr>
        <w:t xml:space="preserve"> 1</w:t>
      </w:r>
      <w:r>
        <w:rPr>
          <w:rFonts w:cs="Calibri"/>
        </w:rPr>
        <w:t xml:space="preserve"> : </w:t>
      </w:r>
      <w:r w:rsidR="00AC416B" w:rsidRPr="00532143">
        <w:rPr>
          <w:rFonts w:cs="Calibri"/>
        </w:rPr>
        <w:t xml:space="preserve">vise à créer une demande pour les produits et services de santé reproductive, </w:t>
      </w:r>
      <w:r w:rsidR="00AC416B" w:rsidRPr="0000288C">
        <w:rPr>
          <w:rFonts w:cs="Calibri"/>
        </w:rPr>
        <w:t xml:space="preserve">maternelle, néonatale, infantile et nutritionnelle (SRMNIN) en favorisant le changement social et comportemental et l'autonomisation des femmes et des adolescentes. </w:t>
      </w:r>
    </w:p>
    <w:p w14:paraId="43144A6D" w14:textId="2FDAF167" w:rsidR="00AC416B" w:rsidRPr="0000288C" w:rsidRDefault="00641771" w:rsidP="0034731F">
      <w:pPr>
        <w:pStyle w:val="ListParagraph"/>
        <w:numPr>
          <w:ilvl w:val="0"/>
          <w:numId w:val="1"/>
        </w:numPr>
        <w:tabs>
          <w:tab w:val="left" w:pos="-720"/>
        </w:tabs>
        <w:suppressAutoHyphens/>
        <w:spacing w:before="120" w:after="120" w:line="240" w:lineRule="auto"/>
        <w:jc w:val="both"/>
        <w:rPr>
          <w:rFonts w:cs="Calibri"/>
        </w:rPr>
      </w:pPr>
      <w:r>
        <w:rPr>
          <w:rFonts w:cs="Calibri"/>
        </w:rPr>
        <w:t>C</w:t>
      </w:r>
      <w:r w:rsidR="00AC416B" w:rsidRPr="0000288C">
        <w:rPr>
          <w:rFonts w:cs="Calibri"/>
        </w:rPr>
        <w:t>omposante 2</w:t>
      </w:r>
      <w:r>
        <w:rPr>
          <w:rFonts w:cs="Calibri"/>
        </w:rPr>
        <w:t> : vise</w:t>
      </w:r>
      <w:r w:rsidR="00AC416B" w:rsidRPr="0000288C">
        <w:rPr>
          <w:rFonts w:cs="Calibri"/>
        </w:rPr>
        <w:t xml:space="preserve"> à renforcer les capacités régionales afin d'améliorer l'offre en produits SRMNIN et en personnel qualifié. </w:t>
      </w:r>
    </w:p>
    <w:p w14:paraId="555A7276" w14:textId="2A5592B0" w:rsidR="00AC416B" w:rsidRPr="00AC416B" w:rsidRDefault="00641771" w:rsidP="0034731F">
      <w:pPr>
        <w:pStyle w:val="ListParagraph"/>
        <w:numPr>
          <w:ilvl w:val="0"/>
          <w:numId w:val="1"/>
        </w:numPr>
        <w:tabs>
          <w:tab w:val="left" w:pos="-720"/>
        </w:tabs>
        <w:suppressAutoHyphens/>
        <w:spacing w:before="120" w:after="120" w:line="240" w:lineRule="auto"/>
        <w:jc w:val="both"/>
        <w:rPr>
          <w:rFonts w:cs="Calibri"/>
        </w:rPr>
      </w:pPr>
      <w:r>
        <w:rPr>
          <w:rFonts w:cs="Calibri"/>
        </w:rPr>
        <w:t>C</w:t>
      </w:r>
      <w:r w:rsidR="00AC416B" w:rsidRPr="0000288C">
        <w:rPr>
          <w:rFonts w:cs="Calibri"/>
        </w:rPr>
        <w:t>omposante 3</w:t>
      </w:r>
      <w:r>
        <w:rPr>
          <w:rFonts w:cs="Calibri"/>
        </w:rPr>
        <w:t> : vise à</w:t>
      </w:r>
      <w:r w:rsidR="00AC416B" w:rsidRPr="0000288C">
        <w:rPr>
          <w:rFonts w:cs="Calibri"/>
        </w:rPr>
        <w:t xml:space="preserve"> renforcer le plaidoyer et la concertation de haut niveau menés dans le cadre du projet et à renforcer les capacités pour l'élaboration des politiques, l’analyse démographique.</w:t>
      </w:r>
    </w:p>
    <w:p w14:paraId="3D323359" w14:textId="6D14B759" w:rsidR="00AC416B" w:rsidRDefault="00AC416B" w:rsidP="0034731F">
      <w:pPr>
        <w:spacing w:line="240" w:lineRule="auto"/>
        <w:jc w:val="both"/>
      </w:pPr>
      <w:r>
        <w:t>Le projet accorde une place importante aux stratégies communautair</w:t>
      </w:r>
      <w:r w:rsidR="002525CF">
        <w:t xml:space="preserve">e, et </w:t>
      </w:r>
      <w:r>
        <w:t>la mise en œuvre des espaces sûrs, des écoles/clubs de maris et clubs de futurs maris, en tant que stratégie de renforcement des compétences de vie</w:t>
      </w:r>
      <w:r w:rsidR="00CC2221">
        <w:t>. L</w:t>
      </w:r>
      <w:r>
        <w:t xml:space="preserve">e projet </w:t>
      </w:r>
      <w:r w:rsidR="00641771">
        <w:t>apporte également un appui à</w:t>
      </w:r>
      <w:r>
        <w:t xml:space="preserve"> la scolarisation </w:t>
      </w:r>
      <w:r w:rsidR="00641771">
        <w:t xml:space="preserve">et au maintien </w:t>
      </w:r>
      <w:r>
        <w:t xml:space="preserve">des filles </w:t>
      </w:r>
      <w:r w:rsidR="00641771">
        <w:t xml:space="preserve">à l’école </w:t>
      </w:r>
      <w:r>
        <w:t>dans les zones d’interventions à travers</w:t>
      </w:r>
      <w:r w:rsidR="00641771">
        <w:t> :</w:t>
      </w:r>
      <w:r>
        <w:t xml:space="preserve"> l’appui alimentaire, l’octroi de bourses et de moyen de </w:t>
      </w:r>
      <w:r w:rsidR="00641771">
        <w:t>transport</w:t>
      </w:r>
      <w:r>
        <w:t>.</w:t>
      </w:r>
    </w:p>
    <w:p w14:paraId="2C879824" w14:textId="6AAF5B99" w:rsidR="00AC416B" w:rsidRDefault="00AC416B" w:rsidP="0034731F">
      <w:pPr>
        <w:spacing w:line="240" w:lineRule="auto"/>
        <w:jc w:val="both"/>
      </w:pPr>
      <w:r>
        <w:t xml:space="preserve">Pour plus d’information, les candidats intéressés peuvent aller vers les sites SWEDD suivants : </w:t>
      </w:r>
    </w:p>
    <w:p w14:paraId="1FF73B6C" w14:textId="1A515A9E" w:rsidR="00AC416B" w:rsidRDefault="0031737D" w:rsidP="0034731F">
      <w:pPr>
        <w:pStyle w:val="ListParagraph"/>
        <w:numPr>
          <w:ilvl w:val="0"/>
          <w:numId w:val="7"/>
        </w:numPr>
        <w:spacing w:line="240" w:lineRule="auto"/>
        <w:jc w:val="both"/>
      </w:pPr>
      <w:hyperlink r:id="rId9" w:history="1">
        <w:r w:rsidR="00AC416B" w:rsidRPr="00DE7556">
          <w:rPr>
            <w:rStyle w:val="Hyperlink"/>
          </w:rPr>
          <w:t>https://wcaro.unfpa.org/fr/swedd</w:t>
        </w:r>
      </w:hyperlink>
    </w:p>
    <w:p w14:paraId="1F1EACFF" w14:textId="4DEDD1B3" w:rsidR="00AC416B" w:rsidRPr="00AC416B" w:rsidRDefault="0031737D" w:rsidP="0034731F">
      <w:pPr>
        <w:pStyle w:val="ListParagraph"/>
        <w:numPr>
          <w:ilvl w:val="0"/>
          <w:numId w:val="7"/>
        </w:numPr>
        <w:spacing w:line="240" w:lineRule="auto"/>
        <w:jc w:val="both"/>
      </w:pPr>
      <w:hyperlink r:id="rId10" w:history="1">
        <w:r w:rsidR="00AC416B">
          <w:rPr>
            <w:rStyle w:val="Hyperlink"/>
          </w:rPr>
          <w:t>http://www.projetswedd.org/</w:t>
        </w:r>
      </w:hyperlink>
    </w:p>
    <w:p w14:paraId="4200DF0A" w14:textId="77777777" w:rsidR="006761DD" w:rsidRDefault="006761DD" w:rsidP="004F25D7">
      <w:pPr>
        <w:spacing w:line="240" w:lineRule="auto"/>
        <w:jc w:val="both"/>
      </w:pPr>
    </w:p>
    <w:p w14:paraId="36794EFC" w14:textId="77777777" w:rsidR="00304B34" w:rsidRDefault="003451A9" w:rsidP="000053FD">
      <w:pPr>
        <w:pStyle w:val="ListParagraph"/>
        <w:numPr>
          <w:ilvl w:val="0"/>
          <w:numId w:val="2"/>
        </w:numPr>
        <w:spacing w:line="240" w:lineRule="auto"/>
        <w:rPr>
          <w:b/>
        </w:rPr>
      </w:pPr>
      <w:r>
        <w:rPr>
          <w:b/>
        </w:rPr>
        <w:t>PROFILS TYPE</w:t>
      </w:r>
      <w:r w:rsidR="007114C9">
        <w:rPr>
          <w:b/>
        </w:rPr>
        <w:t>S</w:t>
      </w:r>
    </w:p>
    <w:p w14:paraId="06280890" w14:textId="77777777" w:rsidR="00753254" w:rsidRPr="00820BEE" w:rsidRDefault="00753254" w:rsidP="004F25D7">
      <w:pPr>
        <w:spacing w:line="240" w:lineRule="auto"/>
        <w:rPr>
          <w:rFonts w:cs="Times New Roman"/>
          <w:b/>
        </w:rPr>
      </w:pPr>
      <w:r w:rsidRPr="00820BEE">
        <w:rPr>
          <w:rFonts w:cs="Calibri"/>
          <w:b/>
          <w:u w:val="single"/>
        </w:rPr>
        <w:t>Composante 1 :</w:t>
      </w:r>
      <w:r w:rsidRPr="00820BEE">
        <w:rPr>
          <w:rFonts w:cs="Calibri"/>
        </w:rPr>
        <w:t xml:space="preserve"> </w:t>
      </w:r>
      <w:r w:rsidR="00A26DE0" w:rsidRPr="00820BEE">
        <w:rPr>
          <w:rFonts w:cs="Calibri"/>
        </w:rPr>
        <w:t>Génération de demande pour les produits et services de santé reproductive, maternelle, néonatale, infantile et nutritionnelle (SRMNIN) en favorisant le changement social et comportemental et l'autonomisation des femmes et des adolescentes.</w:t>
      </w:r>
    </w:p>
    <w:tbl>
      <w:tblPr>
        <w:tblStyle w:val="TableGrid"/>
        <w:tblW w:w="0" w:type="auto"/>
        <w:tblLook w:val="04A0" w:firstRow="1" w:lastRow="0" w:firstColumn="1" w:lastColumn="0" w:noHBand="0" w:noVBand="1"/>
      </w:tblPr>
      <w:tblGrid>
        <w:gridCol w:w="2718"/>
        <w:gridCol w:w="6858"/>
      </w:tblGrid>
      <w:tr w:rsidR="00300B2F" w:rsidRPr="00300B2F" w14:paraId="16F661DE" w14:textId="77777777" w:rsidTr="00884DEE">
        <w:tc>
          <w:tcPr>
            <w:tcW w:w="2718" w:type="dxa"/>
          </w:tcPr>
          <w:p w14:paraId="48DD2D77" w14:textId="77777777" w:rsidR="00300B2F" w:rsidRPr="00300B2F" w:rsidRDefault="00300B2F" w:rsidP="004F25D7">
            <w:pPr>
              <w:spacing w:line="240" w:lineRule="auto"/>
              <w:jc w:val="center"/>
              <w:rPr>
                <w:b/>
              </w:rPr>
            </w:pPr>
            <w:r w:rsidRPr="00300B2F">
              <w:rPr>
                <w:b/>
              </w:rPr>
              <w:t>Sous-composante</w:t>
            </w:r>
          </w:p>
        </w:tc>
        <w:tc>
          <w:tcPr>
            <w:tcW w:w="6858" w:type="dxa"/>
          </w:tcPr>
          <w:p w14:paraId="68260E10" w14:textId="77777777" w:rsidR="00300B2F" w:rsidRPr="00300B2F" w:rsidRDefault="00300B2F" w:rsidP="004F25D7">
            <w:pPr>
              <w:spacing w:line="240" w:lineRule="auto"/>
              <w:jc w:val="center"/>
              <w:rPr>
                <w:b/>
              </w:rPr>
            </w:pPr>
            <w:r>
              <w:rPr>
                <w:b/>
              </w:rPr>
              <w:t>Domaines d’expertise</w:t>
            </w:r>
          </w:p>
        </w:tc>
      </w:tr>
      <w:tr w:rsidR="00240057" w14:paraId="3DEE7E5C" w14:textId="77777777" w:rsidTr="00884DEE">
        <w:trPr>
          <w:trHeight w:val="1088"/>
        </w:trPr>
        <w:tc>
          <w:tcPr>
            <w:tcW w:w="2718" w:type="dxa"/>
          </w:tcPr>
          <w:p w14:paraId="05154443" w14:textId="77777777" w:rsidR="00240057" w:rsidRDefault="00240057" w:rsidP="004F25D7">
            <w:pPr>
              <w:spacing w:line="240" w:lineRule="auto"/>
              <w:rPr>
                <w:b/>
              </w:rPr>
            </w:pPr>
            <w:r w:rsidRPr="00753254">
              <w:t>SC 1.1 - Campagne médiatique régionale</w:t>
            </w:r>
          </w:p>
        </w:tc>
        <w:tc>
          <w:tcPr>
            <w:tcW w:w="6858" w:type="dxa"/>
          </w:tcPr>
          <w:p w14:paraId="5BE15852" w14:textId="77777777" w:rsidR="00E32F12" w:rsidRPr="00E32F12" w:rsidRDefault="00E32F12" w:rsidP="00E32F12">
            <w:pPr>
              <w:pStyle w:val="ListParagraph"/>
              <w:numPr>
                <w:ilvl w:val="0"/>
                <w:numId w:val="4"/>
              </w:numPr>
              <w:spacing w:line="240" w:lineRule="auto"/>
            </w:pPr>
            <w:r w:rsidRPr="00E32F12">
              <w:t>Communication institutionnelle/plaidoyer/partenariat</w:t>
            </w:r>
          </w:p>
          <w:p w14:paraId="6F061C3A" w14:textId="77777777" w:rsidR="00E32F12" w:rsidRPr="00E32F12" w:rsidRDefault="00E32F12" w:rsidP="00E32F12">
            <w:pPr>
              <w:pStyle w:val="ListParagraph"/>
              <w:numPr>
                <w:ilvl w:val="0"/>
                <w:numId w:val="4"/>
              </w:numPr>
              <w:spacing w:line="240" w:lineRule="auto"/>
            </w:pPr>
            <w:r w:rsidRPr="00E32F12">
              <w:t xml:space="preserve">Communication pour un changement social et  comportement </w:t>
            </w:r>
          </w:p>
          <w:p w14:paraId="6DFEEC60" w14:textId="472581F8" w:rsidR="00D83C63" w:rsidRDefault="00D83C63" w:rsidP="00D83C63">
            <w:pPr>
              <w:pStyle w:val="ListParagraph"/>
              <w:numPr>
                <w:ilvl w:val="0"/>
                <w:numId w:val="4"/>
              </w:numPr>
              <w:spacing w:line="240" w:lineRule="auto"/>
            </w:pPr>
            <w:r w:rsidRPr="00AF574C">
              <w:t>Journalisme écrit, photo, vidéo, multimédia</w:t>
            </w:r>
            <w:r>
              <w:t xml:space="preserve"> et </w:t>
            </w:r>
            <w:r w:rsidR="00A333BF" w:rsidRPr="00AF574C">
              <w:t>é</w:t>
            </w:r>
            <w:r w:rsidR="00A333BF" w:rsidRPr="00E32F12">
              <w:t>dition</w:t>
            </w:r>
          </w:p>
          <w:p w14:paraId="422370EA" w14:textId="06CF828A" w:rsidR="00240057" w:rsidRPr="00E32F12" w:rsidRDefault="00D83C63" w:rsidP="00D83C63">
            <w:pPr>
              <w:pStyle w:val="ListParagraph"/>
              <w:numPr>
                <w:ilvl w:val="0"/>
                <w:numId w:val="4"/>
              </w:numPr>
              <w:spacing w:line="240" w:lineRule="auto"/>
            </w:pPr>
            <w:r>
              <w:t>P</w:t>
            </w:r>
            <w:r w:rsidR="00E32F12" w:rsidRPr="00E32F12">
              <w:t xml:space="preserve">roduction multimédia  </w:t>
            </w:r>
          </w:p>
          <w:p w14:paraId="00B4E45A" w14:textId="77777777" w:rsidR="00C3399E" w:rsidRDefault="00C3399E" w:rsidP="004F25D7">
            <w:pPr>
              <w:pStyle w:val="ListParagraph"/>
              <w:numPr>
                <w:ilvl w:val="0"/>
                <w:numId w:val="4"/>
              </w:numPr>
              <w:spacing w:line="240" w:lineRule="auto"/>
            </w:pPr>
            <w:r>
              <w:lastRenderedPageBreak/>
              <w:t>Marketing social</w:t>
            </w:r>
          </w:p>
          <w:p w14:paraId="0DB89629" w14:textId="208D289B" w:rsidR="00C3399E" w:rsidRDefault="00C3399E" w:rsidP="004F25D7">
            <w:pPr>
              <w:pStyle w:val="ListParagraph"/>
              <w:numPr>
                <w:ilvl w:val="0"/>
                <w:numId w:val="4"/>
              </w:numPr>
              <w:spacing w:line="240" w:lineRule="auto"/>
            </w:pPr>
            <w:r>
              <w:t>Suivi et évaluation des activités de communic</w:t>
            </w:r>
            <w:r w:rsidR="005E1746">
              <w:t>a</w:t>
            </w:r>
            <w:r>
              <w:t>tion et mass média</w:t>
            </w:r>
          </w:p>
          <w:p w14:paraId="78971934" w14:textId="77777777" w:rsidR="00C3399E" w:rsidRDefault="00C3399E" w:rsidP="00AF574C">
            <w:pPr>
              <w:pStyle w:val="ListParagraph"/>
              <w:numPr>
                <w:ilvl w:val="0"/>
                <w:numId w:val="4"/>
              </w:numPr>
              <w:spacing w:line="240" w:lineRule="auto"/>
            </w:pPr>
            <w:r>
              <w:t>Innovations, incubateurs</w:t>
            </w:r>
          </w:p>
          <w:p w14:paraId="6A0E9384" w14:textId="77777777" w:rsidR="00C3399E" w:rsidRDefault="00C3399E" w:rsidP="00AF574C">
            <w:pPr>
              <w:pStyle w:val="ListParagraph"/>
              <w:numPr>
                <w:ilvl w:val="0"/>
                <w:numId w:val="4"/>
              </w:numPr>
              <w:spacing w:line="240" w:lineRule="auto"/>
            </w:pPr>
            <w:r>
              <w:t>Cartographie des compétences</w:t>
            </w:r>
          </w:p>
          <w:p w14:paraId="64AF8E2F" w14:textId="06DAD7C5" w:rsidR="00C3399E" w:rsidRPr="00753254" w:rsidRDefault="00C3399E" w:rsidP="00AF574C">
            <w:pPr>
              <w:pStyle w:val="ListParagraph"/>
              <w:numPr>
                <w:ilvl w:val="0"/>
                <w:numId w:val="4"/>
              </w:numPr>
              <w:spacing w:line="240" w:lineRule="auto"/>
            </w:pPr>
            <w:r>
              <w:t>Documentation des meilleures pratiques</w:t>
            </w:r>
          </w:p>
        </w:tc>
      </w:tr>
      <w:tr w:rsidR="00240057" w14:paraId="0C819E5C" w14:textId="77777777" w:rsidTr="00884DEE">
        <w:trPr>
          <w:trHeight w:val="845"/>
        </w:trPr>
        <w:tc>
          <w:tcPr>
            <w:tcW w:w="2718" w:type="dxa"/>
          </w:tcPr>
          <w:p w14:paraId="01726EBC" w14:textId="4C3E233E" w:rsidR="00240057" w:rsidRDefault="00240057" w:rsidP="004F25D7">
            <w:pPr>
              <w:spacing w:line="240" w:lineRule="auto"/>
              <w:rPr>
                <w:b/>
              </w:rPr>
            </w:pPr>
            <w:r w:rsidRPr="00753254">
              <w:lastRenderedPageBreak/>
              <w:t>SC 1.2 - Assistance technique aux pays dans la conception, la mise en œuvre, le suivi et l'évaluation des programmes pays pour l'autonomisation des femmes et des filles</w:t>
            </w:r>
          </w:p>
        </w:tc>
        <w:tc>
          <w:tcPr>
            <w:tcW w:w="6858" w:type="dxa"/>
          </w:tcPr>
          <w:p w14:paraId="1E0ED793" w14:textId="77777777" w:rsidR="00D75339" w:rsidRDefault="00D75339" w:rsidP="00D75339">
            <w:pPr>
              <w:pStyle w:val="ListParagraph"/>
              <w:numPr>
                <w:ilvl w:val="0"/>
                <w:numId w:val="4"/>
              </w:numPr>
              <w:spacing w:line="240" w:lineRule="auto"/>
            </w:pPr>
            <w:r w:rsidRPr="00D75339">
              <w:t>Développement du programme d'études (programmation centrée sur les filles, compétences professionnelles et de vie, éducation sexuelle complète)</w:t>
            </w:r>
          </w:p>
          <w:p w14:paraId="3A70DB80" w14:textId="44B986F6" w:rsidR="00240057" w:rsidRDefault="00573DF9" w:rsidP="00D75339">
            <w:pPr>
              <w:pStyle w:val="ListParagraph"/>
              <w:numPr>
                <w:ilvl w:val="0"/>
                <w:numId w:val="4"/>
              </w:numPr>
              <w:spacing w:line="240" w:lineRule="auto"/>
            </w:pPr>
            <w:r>
              <w:t>E</w:t>
            </w:r>
            <w:r w:rsidR="00240057">
              <w:t>spaces s</w:t>
            </w:r>
            <w:r w:rsidR="004F0A97">
              <w:t>û</w:t>
            </w:r>
            <w:r w:rsidR="00240057">
              <w:t>rs pour les jeunes filles</w:t>
            </w:r>
          </w:p>
          <w:p w14:paraId="16A18C37" w14:textId="77777777" w:rsidR="002B24B6" w:rsidRDefault="00573DF9" w:rsidP="004F25D7">
            <w:pPr>
              <w:pStyle w:val="ListParagraph"/>
              <w:numPr>
                <w:ilvl w:val="0"/>
                <w:numId w:val="4"/>
              </w:numPr>
              <w:spacing w:line="240" w:lineRule="auto"/>
            </w:pPr>
            <w:r>
              <w:t>M</w:t>
            </w:r>
            <w:r w:rsidR="002B24B6" w:rsidRPr="00CF2EF3">
              <w:t>aintien des filles à</w:t>
            </w:r>
            <w:r w:rsidR="002B24B6">
              <w:t xml:space="preserve"> l'école</w:t>
            </w:r>
          </w:p>
          <w:p w14:paraId="149456AB" w14:textId="6CE69DDD" w:rsidR="00240057" w:rsidRDefault="00240057" w:rsidP="004F25D7">
            <w:pPr>
              <w:pStyle w:val="ListParagraph"/>
              <w:numPr>
                <w:ilvl w:val="0"/>
                <w:numId w:val="4"/>
              </w:numPr>
              <w:spacing w:line="240" w:lineRule="auto"/>
            </w:pPr>
            <w:r>
              <w:t>Application des</w:t>
            </w:r>
            <w:r w:rsidRPr="00E95D39">
              <w:t xml:space="preserve"> </w:t>
            </w:r>
            <w:proofErr w:type="spellStart"/>
            <w:r w:rsidRPr="00E95D39">
              <w:t>TIC</w:t>
            </w:r>
            <w:r>
              <w:t>s</w:t>
            </w:r>
            <w:proofErr w:type="spellEnd"/>
            <w:r w:rsidRPr="00E95D39">
              <w:t xml:space="preserve"> pour la scénarisation</w:t>
            </w:r>
            <w:r>
              <w:t xml:space="preserve"> </w:t>
            </w:r>
            <w:r w:rsidR="004F0A97">
              <w:t>de l’éducation complète à la sexualité</w:t>
            </w:r>
          </w:p>
          <w:p w14:paraId="19CD9725" w14:textId="36047E20" w:rsidR="00C3399E" w:rsidRDefault="00C3399E" w:rsidP="004F25D7">
            <w:pPr>
              <w:pStyle w:val="ListParagraph"/>
              <w:numPr>
                <w:ilvl w:val="0"/>
                <w:numId w:val="4"/>
              </w:numPr>
              <w:spacing w:line="240" w:lineRule="auto"/>
            </w:pPr>
            <w:r>
              <w:t xml:space="preserve">Développement </w:t>
            </w:r>
            <w:r w:rsidR="004F0A97">
              <w:t>des curricula</w:t>
            </w:r>
          </w:p>
          <w:p w14:paraId="626BDC9D" w14:textId="77777777" w:rsidR="00C3399E" w:rsidRDefault="00C3399E" w:rsidP="004F25D7">
            <w:pPr>
              <w:pStyle w:val="ListParagraph"/>
              <w:numPr>
                <w:ilvl w:val="0"/>
                <w:numId w:val="4"/>
              </w:numPr>
              <w:spacing w:line="240" w:lineRule="auto"/>
            </w:pPr>
            <w:r>
              <w:t>Evaluation d’impact</w:t>
            </w:r>
          </w:p>
          <w:p w14:paraId="04ED64B7" w14:textId="77777777" w:rsidR="00C3399E" w:rsidRDefault="00C3399E" w:rsidP="004F25D7">
            <w:pPr>
              <w:pStyle w:val="ListParagraph"/>
              <w:numPr>
                <w:ilvl w:val="0"/>
                <w:numId w:val="4"/>
              </w:numPr>
              <w:spacing w:line="240" w:lineRule="auto"/>
            </w:pPr>
            <w:r>
              <w:t>Mise en œuvre des interventions de scolarisation</w:t>
            </w:r>
          </w:p>
          <w:p w14:paraId="28462A52" w14:textId="77777777" w:rsidR="00C3399E" w:rsidRDefault="00C3399E" w:rsidP="004F25D7">
            <w:pPr>
              <w:pStyle w:val="ListParagraph"/>
              <w:numPr>
                <w:ilvl w:val="0"/>
                <w:numId w:val="4"/>
              </w:numPr>
              <w:spacing w:line="240" w:lineRule="auto"/>
            </w:pPr>
            <w:r>
              <w:t xml:space="preserve">Genre </w:t>
            </w:r>
          </w:p>
          <w:p w14:paraId="69DA3EB4" w14:textId="77777777" w:rsidR="00C3399E" w:rsidRDefault="00C3399E" w:rsidP="004F25D7">
            <w:pPr>
              <w:pStyle w:val="ListParagraph"/>
              <w:numPr>
                <w:ilvl w:val="0"/>
                <w:numId w:val="4"/>
              </w:numPr>
              <w:spacing w:line="240" w:lineRule="auto"/>
            </w:pPr>
            <w:r>
              <w:t>Autonomisation économique</w:t>
            </w:r>
          </w:p>
          <w:p w14:paraId="61A3AB39" w14:textId="7B4E3398" w:rsidR="00C3399E" w:rsidRDefault="004F0A97" w:rsidP="004F25D7">
            <w:pPr>
              <w:pStyle w:val="ListParagraph"/>
              <w:numPr>
                <w:ilvl w:val="0"/>
                <w:numId w:val="4"/>
              </w:numPr>
              <w:spacing w:line="240" w:lineRule="auto"/>
            </w:pPr>
            <w:r>
              <w:t>Activité génératrices de revenu</w:t>
            </w:r>
          </w:p>
          <w:p w14:paraId="4E8CD985" w14:textId="343FCF5C" w:rsidR="00C3399E" w:rsidRPr="00300B2F" w:rsidRDefault="00C3399E" w:rsidP="004F25D7">
            <w:pPr>
              <w:pStyle w:val="ListParagraph"/>
              <w:numPr>
                <w:ilvl w:val="0"/>
                <w:numId w:val="4"/>
              </w:numPr>
              <w:spacing w:line="240" w:lineRule="auto"/>
            </w:pPr>
            <w:r>
              <w:t>Education complète à la sexualité</w:t>
            </w:r>
          </w:p>
        </w:tc>
      </w:tr>
    </w:tbl>
    <w:p w14:paraId="63A4D722" w14:textId="5EEC8F3C" w:rsidR="00753254" w:rsidRDefault="00753254" w:rsidP="004F25D7">
      <w:pPr>
        <w:spacing w:line="240" w:lineRule="auto"/>
        <w:rPr>
          <w:b/>
        </w:rPr>
      </w:pPr>
    </w:p>
    <w:p w14:paraId="3E02218A" w14:textId="77777777" w:rsidR="006F7EC1" w:rsidRPr="00261C49" w:rsidRDefault="006F7EC1" w:rsidP="006F7EC1">
      <w:pPr>
        <w:spacing w:line="240" w:lineRule="auto"/>
      </w:pPr>
      <w:r w:rsidRPr="00261C49">
        <w:rPr>
          <w:b/>
          <w:u w:val="single"/>
        </w:rPr>
        <w:t>Composante 2</w:t>
      </w:r>
      <w:r>
        <w:rPr>
          <w:b/>
          <w:u w:val="single"/>
        </w:rPr>
        <w:t> </w:t>
      </w:r>
      <w:r>
        <w:t>: R</w:t>
      </w:r>
      <w:r w:rsidRPr="0000288C">
        <w:rPr>
          <w:rFonts w:cs="Calibri"/>
        </w:rPr>
        <w:t xml:space="preserve">enforcer les capacités régionales afin d'améliorer l'offre en produits SRMNIN et en personnel qualifié. </w:t>
      </w:r>
      <w:r>
        <w:t xml:space="preserve"> </w:t>
      </w:r>
    </w:p>
    <w:tbl>
      <w:tblPr>
        <w:tblStyle w:val="TableGrid"/>
        <w:tblW w:w="0" w:type="auto"/>
        <w:tblLook w:val="04A0" w:firstRow="1" w:lastRow="0" w:firstColumn="1" w:lastColumn="0" w:noHBand="0" w:noVBand="1"/>
      </w:tblPr>
      <w:tblGrid>
        <w:gridCol w:w="4338"/>
        <w:gridCol w:w="5238"/>
      </w:tblGrid>
      <w:tr w:rsidR="006F7EC1" w:rsidRPr="00300B2F" w14:paraId="27DCBCAF" w14:textId="77777777" w:rsidTr="00D53E94">
        <w:tc>
          <w:tcPr>
            <w:tcW w:w="4338" w:type="dxa"/>
          </w:tcPr>
          <w:p w14:paraId="72CD7BE7" w14:textId="77777777" w:rsidR="006F7EC1" w:rsidRPr="00300B2F" w:rsidRDefault="006F7EC1" w:rsidP="00D53E94">
            <w:pPr>
              <w:spacing w:line="240" w:lineRule="auto"/>
              <w:jc w:val="center"/>
              <w:rPr>
                <w:b/>
              </w:rPr>
            </w:pPr>
            <w:r w:rsidRPr="00300B2F">
              <w:rPr>
                <w:b/>
              </w:rPr>
              <w:t>Sous-composante</w:t>
            </w:r>
          </w:p>
        </w:tc>
        <w:tc>
          <w:tcPr>
            <w:tcW w:w="5238" w:type="dxa"/>
          </w:tcPr>
          <w:p w14:paraId="501745C7" w14:textId="77777777" w:rsidR="006F7EC1" w:rsidRPr="00300B2F" w:rsidRDefault="006F7EC1" w:rsidP="00D53E94">
            <w:pPr>
              <w:spacing w:line="240" w:lineRule="auto"/>
              <w:jc w:val="center"/>
              <w:rPr>
                <w:b/>
              </w:rPr>
            </w:pPr>
            <w:r>
              <w:rPr>
                <w:b/>
              </w:rPr>
              <w:t>Domaines d’expertise</w:t>
            </w:r>
          </w:p>
        </w:tc>
      </w:tr>
      <w:tr w:rsidR="006F7EC1" w14:paraId="391E593E" w14:textId="77777777" w:rsidTr="00D53E94">
        <w:trPr>
          <w:trHeight w:val="1043"/>
        </w:trPr>
        <w:tc>
          <w:tcPr>
            <w:tcW w:w="4338" w:type="dxa"/>
          </w:tcPr>
          <w:p w14:paraId="5A3F53CC" w14:textId="656764CB" w:rsidR="006F7EC1" w:rsidRDefault="006F7EC1" w:rsidP="00D53E94">
            <w:pPr>
              <w:spacing w:line="240" w:lineRule="auto"/>
              <w:rPr>
                <w:b/>
              </w:rPr>
            </w:pPr>
            <w:r>
              <w:t>SC 2</w:t>
            </w:r>
            <w:r w:rsidRPr="00753254">
              <w:t xml:space="preserve">.1 - </w:t>
            </w:r>
            <w:r w:rsidRPr="00261C49">
              <w:t>Ha</w:t>
            </w:r>
            <w:r w:rsidR="004F0A97">
              <w:t>r</w:t>
            </w:r>
            <w:r w:rsidRPr="00261C49">
              <w:t>moniser l'enregistrement et le contrôle qualité des produits nutritionnels et de santé de reproduction maternelle, néonatale, infantile (RMNCHN)</w:t>
            </w:r>
          </w:p>
        </w:tc>
        <w:tc>
          <w:tcPr>
            <w:tcW w:w="5238" w:type="dxa"/>
          </w:tcPr>
          <w:p w14:paraId="4A7EAB3A" w14:textId="77777777" w:rsidR="006F7EC1" w:rsidRDefault="006F7EC1" w:rsidP="00D53E94">
            <w:pPr>
              <w:pStyle w:val="ListParagraph"/>
              <w:numPr>
                <w:ilvl w:val="0"/>
                <w:numId w:val="4"/>
              </w:numPr>
              <w:spacing w:line="240" w:lineRule="auto"/>
            </w:pPr>
            <w:r>
              <w:t>Pharmaciens</w:t>
            </w:r>
          </w:p>
          <w:p w14:paraId="787B9C0B" w14:textId="77777777" w:rsidR="006F7EC1" w:rsidRPr="00753254" w:rsidRDefault="006F7EC1" w:rsidP="00D53E94">
            <w:pPr>
              <w:pStyle w:val="ListParagraph"/>
              <w:numPr>
                <w:ilvl w:val="0"/>
                <w:numId w:val="4"/>
              </w:numPr>
              <w:spacing w:line="240" w:lineRule="auto"/>
            </w:pPr>
            <w:r>
              <w:t>Économiste en santé</w:t>
            </w:r>
          </w:p>
        </w:tc>
      </w:tr>
      <w:tr w:rsidR="006F7EC1" w14:paraId="0F63543A" w14:textId="77777777" w:rsidTr="00D53E94">
        <w:trPr>
          <w:trHeight w:val="872"/>
        </w:trPr>
        <w:tc>
          <w:tcPr>
            <w:tcW w:w="4338" w:type="dxa"/>
          </w:tcPr>
          <w:p w14:paraId="5C52741E" w14:textId="77777777" w:rsidR="006F7EC1" w:rsidRDefault="006F7EC1" w:rsidP="00D53E94">
            <w:pPr>
              <w:spacing w:line="240" w:lineRule="auto"/>
            </w:pPr>
            <w:r>
              <w:t xml:space="preserve">SC 2.2 - </w:t>
            </w:r>
            <w:r w:rsidRPr="00240057">
              <w:t>Renforcer les efforts des pays pour améliorer la performance de leur chaîne d'approvisionnement RMNCHN</w:t>
            </w:r>
          </w:p>
        </w:tc>
        <w:tc>
          <w:tcPr>
            <w:tcW w:w="5238" w:type="dxa"/>
          </w:tcPr>
          <w:p w14:paraId="623D7F82" w14:textId="77777777" w:rsidR="006F7EC1" w:rsidRDefault="006F7EC1" w:rsidP="00D53E94">
            <w:pPr>
              <w:pStyle w:val="ListParagraph"/>
              <w:numPr>
                <w:ilvl w:val="0"/>
                <w:numId w:val="4"/>
              </w:numPr>
              <w:spacing w:line="240" w:lineRule="auto"/>
            </w:pPr>
            <w:r>
              <w:t>Passation de marché et a</w:t>
            </w:r>
            <w:r w:rsidRPr="00240057">
              <w:t>chats group</w:t>
            </w:r>
            <w:r>
              <w:t>é</w:t>
            </w:r>
            <w:r w:rsidRPr="00240057">
              <w:t>s</w:t>
            </w:r>
          </w:p>
          <w:p w14:paraId="6C518B8B" w14:textId="77777777" w:rsidR="006F7EC1" w:rsidRDefault="006F7EC1" w:rsidP="00D53E94">
            <w:pPr>
              <w:pStyle w:val="ListParagraph"/>
              <w:numPr>
                <w:ilvl w:val="0"/>
                <w:numId w:val="4"/>
              </w:numPr>
              <w:spacing w:line="240" w:lineRule="auto"/>
            </w:pPr>
            <w:r>
              <w:t>C</w:t>
            </w:r>
            <w:r w:rsidRPr="00240057">
              <w:t>haine d'approvisionnement</w:t>
            </w:r>
          </w:p>
        </w:tc>
      </w:tr>
      <w:tr w:rsidR="006F7EC1" w14:paraId="10ADBB73" w14:textId="77777777" w:rsidTr="00D53E94">
        <w:trPr>
          <w:trHeight w:val="773"/>
        </w:trPr>
        <w:tc>
          <w:tcPr>
            <w:tcW w:w="4338" w:type="dxa"/>
          </w:tcPr>
          <w:p w14:paraId="70A2EAF1" w14:textId="77777777" w:rsidR="006F7EC1" w:rsidRDefault="006F7EC1" w:rsidP="00D53E94">
            <w:pPr>
              <w:spacing w:line="240" w:lineRule="auto"/>
            </w:pPr>
            <w:r>
              <w:t>SC</w:t>
            </w:r>
            <w:r w:rsidRPr="006A4342">
              <w:t xml:space="preserve"> 2</w:t>
            </w:r>
            <w:r>
              <w:t>.</w:t>
            </w:r>
            <w:r w:rsidRPr="006A4342">
              <w:t>3</w:t>
            </w:r>
            <w:r>
              <w:t xml:space="preserve"> - </w:t>
            </w:r>
            <w:r w:rsidRPr="006A4342">
              <w:t>Créer un monitoring régional des stocks de produits contraceptifs</w:t>
            </w:r>
          </w:p>
        </w:tc>
        <w:tc>
          <w:tcPr>
            <w:tcW w:w="5238" w:type="dxa"/>
          </w:tcPr>
          <w:p w14:paraId="351C1065" w14:textId="77777777" w:rsidR="006F7EC1" w:rsidRDefault="006F7EC1" w:rsidP="00D53E94">
            <w:pPr>
              <w:pStyle w:val="ListParagraph"/>
              <w:numPr>
                <w:ilvl w:val="0"/>
                <w:numId w:val="4"/>
              </w:numPr>
              <w:spacing w:line="240" w:lineRule="auto"/>
            </w:pPr>
            <w:r>
              <w:t>Systèmes informatique en gestion de logistique et du stock</w:t>
            </w:r>
          </w:p>
        </w:tc>
      </w:tr>
      <w:tr w:rsidR="006F7EC1" w:rsidRPr="006A4342" w14:paraId="59461178" w14:textId="77777777" w:rsidTr="00D53E94">
        <w:trPr>
          <w:trHeight w:val="593"/>
        </w:trPr>
        <w:tc>
          <w:tcPr>
            <w:tcW w:w="4338" w:type="dxa"/>
          </w:tcPr>
          <w:p w14:paraId="73FCEC90" w14:textId="77777777" w:rsidR="006F7EC1" w:rsidRPr="006A4342" w:rsidRDefault="006F7EC1" w:rsidP="00D53E94">
            <w:pPr>
              <w:spacing w:line="240" w:lineRule="auto"/>
              <w:rPr>
                <w:lang w:val="fr-FR"/>
              </w:rPr>
            </w:pPr>
            <w:r w:rsidRPr="006A4342">
              <w:rPr>
                <w:lang w:val="fr-FR"/>
              </w:rPr>
              <w:t>SC 2.4 – Renforcement de capacité au niveau régional pour améliorer la disponibilité et qualité</w:t>
            </w:r>
            <w:r>
              <w:rPr>
                <w:lang w:val="fr-FR"/>
              </w:rPr>
              <w:t xml:space="preserve"> des services des sages-femmes dans les milieux rurales Sahélien</w:t>
            </w:r>
          </w:p>
        </w:tc>
        <w:tc>
          <w:tcPr>
            <w:tcW w:w="5238" w:type="dxa"/>
          </w:tcPr>
          <w:p w14:paraId="490C3C95" w14:textId="77777777" w:rsidR="006F7EC1" w:rsidRDefault="006F7EC1" w:rsidP="00D53E94">
            <w:pPr>
              <w:pStyle w:val="ListParagraph"/>
              <w:numPr>
                <w:ilvl w:val="0"/>
                <w:numId w:val="4"/>
              </w:numPr>
              <w:spacing w:line="240" w:lineRule="auto"/>
            </w:pPr>
            <w:r>
              <w:t>Renforcement de capacité /mentorat des sages-femmes</w:t>
            </w:r>
          </w:p>
          <w:p w14:paraId="757D0C19" w14:textId="77777777" w:rsidR="006F7EC1" w:rsidRPr="006A4342" w:rsidRDefault="006F7EC1" w:rsidP="00D53E94">
            <w:pPr>
              <w:pStyle w:val="ListParagraph"/>
              <w:numPr>
                <w:ilvl w:val="0"/>
                <w:numId w:val="4"/>
              </w:numPr>
              <w:spacing w:line="240" w:lineRule="auto"/>
            </w:pPr>
            <w:r>
              <w:t>Pipeline rural</w:t>
            </w:r>
          </w:p>
        </w:tc>
      </w:tr>
    </w:tbl>
    <w:p w14:paraId="70190221" w14:textId="77777777" w:rsidR="006F7EC1" w:rsidRDefault="006F7EC1" w:rsidP="006F7EC1">
      <w:pPr>
        <w:spacing w:line="240" w:lineRule="auto"/>
        <w:rPr>
          <w:b/>
          <w:lang w:val="fr-FR"/>
        </w:rPr>
      </w:pPr>
    </w:p>
    <w:p w14:paraId="7D0638A9" w14:textId="77777777" w:rsidR="006F7EC1" w:rsidRPr="002C012D" w:rsidRDefault="006F7EC1" w:rsidP="006F7EC1">
      <w:pPr>
        <w:spacing w:line="240" w:lineRule="auto"/>
      </w:pPr>
      <w:r w:rsidRPr="002C012D">
        <w:rPr>
          <w:b/>
          <w:u w:val="single"/>
        </w:rPr>
        <w:lastRenderedPageBreak/>
        <w:t>Composante 3</w:t>
      </w:r>
      <w:r>
        <w:rPr>
          <w:b/>
          <w:u w:val="single"/>
        </w:rPr>
        <w:t> </w:t>
      </w:r>
      <w:r>
        <w:t>: R</w:t>
      </w:r>
      <w:r w:rsidRPr="002C012D">
        <w:t>enforce</w:t>
      </w:r>
      <w:r>
        <w:t>ment</w:t>
      </w:r>
      <w:r w:rsidRPr="002C012D">
        <w:t xml:space="preserve"> </w:t>
      </w:r>
      <w:r>
        <w:t>du</w:t>
      </w:r>
      <w:r w:rsidRPr="002C012D">
        <w:t xml:space="preserve"> plaidoyer et </w:t>
      </w:r>
      <w:r>
        <w:t xml:space="preserve">de </w:t>
      </w:r>
      <w:r w:rsidRPr="002C012D">
        <w:t>la concertation de haut niveau menés dans le cadre du projet et à renforcer les capacités pour l'élaboration des politiques, l’analyse démographique.</w:t>
      </w:r>
    </w:p>
    <w:tbl>
      <w:tblPr>
        <w:tblStyle w:val="TableGrid"/>
        <w:tblW w:w="0" w:type="auto"/>
        <w:tblLook w:val="04A0" w:firstRow="1" w:lastRow="0" w:firstColumn="1" w:lastColumn="0" w:noHBand="0" w:noVBand="1"/>
      </w:tblPr>
      <w:tblGrid>
        <w:gridCol w:w="4338"/>
        <w:gridCol w:w="5238"/>
      </w:tblGrid>
      <w:tr w:rsidR="006F7EC1" w:rsidRPr="00300B2F" w14:paraId="416BC16F" w14:textId="77777777" w:rsidTr="00D53E94">
        <w:tc>
          <w:tcPr>
            <w:tcW w:w="4338" w:type="dxa"/>
          </w:tcPr>
          <w:p w14:paraId="72B8B782" w14:textId="77777777" w:rsidR="006F7EC1" w:rsidRPr="00300B2F" w:rsidRDefault="006F7EC1" w:rsidP="00D53E94">
            <w:pPr>
              <w:spacing w:line="240" w:lineRule="auto"/>
              <w:jc w:val="center"/>
              <w:rPr>
                <w:b/>
              </w:rPr>
            </w:pPr>
            <w:r w:rsidRPr="00300B2F">
              <w:rPr>
                <w:b/>
              </w:rPr>
              <w:t>Sous-composante</w:t>
            </w:r>
          </w:p>
        </w:tc>
        <w:tc>
          <w:tcPr>
            <w:tcW w:w="5238" w:type="dxa"/>
          </w:tcPr>
          <w:p w14:paraId="3364E9D8" w14:textId="77777777" w:rsidR="006F7EC1" w:rsidRPr="00300B2F" w:rsidRDefault="006F7EC1" w:rsidP="00D53E94">
            <w:pPr>
              <w:spacing w:line="240" w:lineRule="auto"/>
              <w:jc w:val="center"/>
              <w:rPr>
                <w:b/>
              </w:rPr>
            </w:pPr>
            <w:r>
              <w:rPr>
                <w:b/>
              </w:rPr>
              <w:t>Domaines d’expertise</w:t>
            </w:r>
          </w:p>
        </w:tc>
      </w:tr>
      <w:tr w:rsidR="006F7EC1" w14:paraId="3366BAB7" w14:textId="77777777" w:rsidTr="00D53E94">
        <w:trPr>
          <w:trHeight w:val="710"/>
        </w:trPr>
        <w:tc>
          <w:tcPr>
            <w:tcW w:w="4338" w:type="dxa"/>
          </w:tcPr>
          <w:p w14:paraId="5DE8A17B" w14:textId="77777777" w:rsidR="006F7EC1" w:rsidRDefault="006F7EC1" w:rsidP="00D53E94">
            <w:pPr>
              <w:spacing w:line="240" w:lineRule="auto"/>
              <w:rPr>
                <w:b/>
              </w:rPr>
            </w:pPr>
            <w:r>
              <w:t>SC 3</w:t>
            </w:r>
            <w:r w:rsidRPr="00753254">
              <w:t xml:space="preserve">.1 - </w:t>
            </w:r>
            <w:r w:rsidRPr="002C012D">
              <w:t xml:space="preserve"> Créer un mécanisme régional de suivi et de responsabilisation sur le dividende démographique</w:t>
            </w:r>
          </w:p>
        </w:tc>
        <w:tc>
          <w:tcPr>
            <w:tcW w:w="5238" w:type="dxa"/>
          </w:tcPr>
          <w:p w14:paraId="4087C393" w14:textId="77777777" w:rsidR="006F7EC1" w:rsidRPr="00753254" w:rsidRDefault="006F7EC1" w:rsidP="00D53E94">
            <w:pPr>
              <w:pStyle w:val="ListParagraph"/>
              <w:numPr>
                <w:ilvl w:val="0"/>
                <w:numId w:val="4"/>
              </w:numPr>
              <w:spacing w:line="240" w:lineRule="auto"/>
            </w:pPr>
            <w:r>
              <w:t>Assistance aux observatoires nationaux et l’observatoire régional</w:t>
            </w:r>
          </w:p>
        </w:tc>
      </w:tr>
      <w:tr w:rsidR="006F7EC1" w14:paraId="470F9B81" w14:textId="77777777" w:rsidTr="00D53E94">
        <w:trPr>
          <w:trHeight w:val="872"/>
        </w:trPr>
        <w:tc>
          <w:tcPr>
            <w:tcW w:w="4338" w:type="dxa"/>
          </w:tcPr>
          <w:p w14:paraId="0715CFEE" w14:textId="77777777" w:rsidR="006F7EC1" w:rsidRDefault="006F7EC1" w:rsidP="00D53E94">
            <w:pPr>
              <w:spacing w:line="240" w:lineRule="auto"/>
            </w:pPr>
            <w:r>
              <w:t xml:space="preserve">SC 3.2 - </w:t>
            </w:r>
            <w:r w:rsidRPr="002C012D">
              <w:t xml:space="preserve"> Élaboration de politiques et renforcement des capacités d'analyse des pays s</w:t>
            </w:r>
            <w:r>
              <w:t>ur les questions de DD</w:t>
            </w:r>
          </w:p>
        </w:tc>
        <w:tc>
          <w:tcPr>
            <w:tcW w:w="5238" w:type="dxa"/>
          </w:tcPr>
          <w:p w14:paraId="6AD6A1F1" w14:textId="77777777" w:rsidR="006F7EC1" w:rsidRDefault="006F7EC1" w:rsidP="00D53E94">
            <w:pPr>
              <w:pStyle w:val="ListParagraph"/>
              <w:numPr>
                <w:ilvl w:val="0"/>
                <w:numId w:val="4"/>
              </w:numPr>
              <w:spacing w:line="240" w:lineRule="auto"/>
            </w:pPr>
            <w:r w:rsidRPr="00300B2F">
              <w:t>Documentation de</w:t>
            </w:r>
            <w:r>
              <w:t>s</w:t>
            </w:r>
            <w:r w:rsidRPr="00300B2F">
              <w:t xml:space="preserve"> </w:t>
            </w:r>
            <w:r>
              <w:t xml:space="preserve">pratiques prometteuse, </w:t>
            </w:r>
            <w:r w:rsidRPr="00300B2F">
              <w:t>bonnes pratiques</w:t>
            </w:r>
            <w:r>
              <w:t xml:space="preserve">, résultats clés, etc. </w:t>
            </w:r>
          </w:p>
        </w:tc>
      </w:tr>
      <w:tr w:rsidR="006F7EC1" w14:paraId="1390B98C" w14:textId="77777777" w:rsidTr="00D53E94">
        <w:trPr>
          <w:trHeight w:val="773"/>
        </w:trPr>
        <w:tc>
          <w:tcPr>
            <w:tcW w:w="4338" w:type="dxa"/>
          </w:tcPr>
          <w:p w14:paraId="3CCD6E91" w14:textId="77777777" w:rsidR="006F7EC1" w:rsidRDefault="006F7EC1" w:rsidP="00D53E94">
            <w:pPr>
              <w:spacing w:line="240" w:lineRule="auto"/>
            </w:pPr>
            <w:r>
              <w:t>SC</w:t>
            </w:r>
            <w:r w:rsidRPr="006A4342">
              <w:t xml:space="preserve"> </w:t>
            </w:r>
            <w:r>
              <w:t>3.</w:t>
            </w:r>
            <w:r w:rsidRPr="006A4342">
              <w:t>3</w:t>
            </w:r>
            <w:r>
              <w:t xml:space="preserve"> - </w:t>
            </w:r>
            <w:r w:rsidRPr="002C012D">
              <w:t>Renforcer les capac</w:t>
            </w:r>
            <w:r>
              <w:t>ités de mise en œuvre du projet</w:t>
            </w:r>
          </w:p>
        </w:tc>
        <w:tc>
          <w:tcPr>
            <w:tcW w:w="5238" w:type="dxa"/>
          </w:tcPr>
          <w:p w14:paraId="30178E30" w14:textId="77777777" w:rsidR="006F7EC1" w:rsidRDefault="006F7EC1" w:rsidP="00D53E94">
            <w:pPr>
              <w:pStyle w:val="ListParagraph"/>
              <w:numPr>
                <w:ilvl w:val="0"/>
                <w:numId w:val="4"/>
              </w:numPr>
              <w:spacing w:line="240" w:lineRule="auto"/>
            </w:pPr>
            <w:r>
              <w:t>Développement/mise à jour des manuels d’opération (bases sur les procédures de la Banque Mondiale)</w:t>
            </w:r>
          </w:p>
          <w:p w14:paraId="12B6954B" w14:textId="77777777" w:rsidR="006F7EC1" w:rsidRDefault="006F7EC1" w:rsidP="00D53E94">
            <w:pPr>
              <w:pStyle w:val="ListParagraph"/>
              <w:numPr>
                <w:ilvl w:val="0"/>
                <w:numId w:val="4"/>
              </w:numPr>
              <w:spacing w:line="240" w:lineRule="auto"/>
            </w:pPr>
            <w:r>
              <w:t>Elaboration des rapports financiers</w:t>
            </w:r>
          </w:p>
          <w:p w14:paraId="018A0729" w14:textId="77777777" w:rsidR="006F7EC1" w:rsidRDefault="006F7EC1" w:rsidP="00D53E94">
            <w:pPr>
              <w:pStyle w:val="ListParagraph"/>
              <w:numPr>
                <w:ilvl w:val="0"/>
                <w:numId w:val="4"/>
              </w:numPr>
              <w:spacing w:line="240" w:lineRule="auto"/>
            </w:pPr>
            <w:r>
              <w:t>Modération/facilitation des évènements</w:t>
            </w:r>
          </w:p>
          <w:p w14:paraId="27416A1E" w14:textId="77777777" w:rsidR="006F7EC1" w:rsidRDefault="006F7EC1" w:rsidP="00D53E94">
            <w:pPr>
              <w:pStyle w:val="ListParagraph"/>
              <w:numPr>
                <w:ilvl w:val="0"/>
                <w:numId w:val="4"/>
              </w:numPr>
              <w:spacing w:line="240" w:lineRule="auto"/>
            </w:pPr>
            <w:r>
              <w:t>Evaluation des propositions pays</w:t>
            </w:r>
          </w:p>
        </w:tc>
      </w:tr>
    </w:tbl>
    <w:p w14:paraId="35F0D2DB" w14:textId="77777777" w:rsidR="006F7EC1" w:rsidRDefault="006F7EC1" w:rsidP="006F7EC1">
      <w:pPr>
        <w:spacing w:line="240" w:lineRule="auto"/>
        <w:rPr>
          <w:b/>
        </w:rPr>
      </w:pPr>
    </w:p>
    <w:p w14:paraId="45DE1788" w14:textId="77777777" w:rsidR="003B53F2" w:rsidRDefault="003B53F2" w:rsidP="000053FD">
      <w:pPr>
        <w:pStyle w:val="ListParagraph"/>
        <w:numPr>
          <w:ilvl w:val="0"/>
          <w:numId w:val="2"/>
        </w:numPr>
        <w:spacing w:line="240" w:lineRule="auto"/>
        <w:rPr>
          <w:b/>
        </w:rPr>
      </w:pPr>
      <w:r>
        <w:rPr>
          <w:b/>
        </w:rPr>
        <w:t>EXPERIENCE</w:t>
      </w:r>
      <w:r w:rsidR="002E6254">
        <w:rPr>
          <w:b/>
        </w:rPr>
        <w:t>, QUALIFICATION, ET COMPETENCES</w:t>
      </w:r>
    </w:p>
    <w:p w14:paraId="7439909F" w14:textId="77777777" w:rsidR="00714C9B" w:rsidRDefault="00714C9B" w:rsidP="004F25D7">
      <w:pPr>
        <w:spacing w:line="240" w:lineRule="auto"/>
      </w:pPr>
      <w:r>
        <w:t xml:space="preserve">L’expérience requise est </w:t>
      </w:r>
      <w:r w:rsidR="007114C9">
        <w:t>la</w:t>
      </w:r>
      <w:r>
        <w:t xml:space="preserve"> suivant</w:t>
      </w:r>
      <w:r w:rsidR="007114C9">
        <w:t>e</w:t>
      </w:r>
      <w:r>
        <w:t xml:space="preserve"> : </w:t>
      </w:r>
    </w:p>
    <w:p w14:paraId="5F6E2A42" w14:textId="77777777" w:rsidR="003B53F2" w:rsidRDefault="003B53F2" w:rsidP="004F25D7">
      <w:pPr>
        <w:pStyle w:val="ListParagraph"/>
        <w:numPr>
          <w:ilvl w:val="0"/>
          <w:numId w:val="4"/>
        </w:numPr>
        <w:spacing w:line="240" w:lineRule="auto"/>
      </w:pPr>
      <w:r w:rsidRPr="003B53F2">
        <w:t>5-7</w:t>
      </w:r>
      <w:r>
        <w:t xml:space="preserve"> ans d’expérience minimum dans les domaines d’expertise décrits</w:t>
      </w:r>
      <w:r w:rsidR="002E6254">
        <w:t xml:space="preserve"> au-dessus</w:t>
      </w:r>
    </w:p>
    <w:p w14:paraId="2311BA67" w14:textId="77777777" w:rsidR="007A6CE6" w:rsidRDefault="006D368F" w:rsidP="004F25D7">
      <w:pPr>
        <w:pStyle w:val="ListParagraph"/>
        <w:numPr>
          <w:ilvl w:val="0"/>
          <w:numId w:val="4"/>
        </w:numPr>
        <w:spacing w:line="240" w:lineRule="auto"/>
      </w:pPr>
      <w:r w:rsidRPr="006D368F">
        <w:t>Le candidat doit se disposer d’un m</w:t>
      </w:r>
      <w:r>
        <w:t>aster</w:t>
      </w:r>
      <w:r w:rsidRPr="006D368F">
        <w:t xml:space="preserve"> dans un sujet relevant aux domaines décrits au-dessus</w:t>
      </w:r>
      <w:r w:rsidR="007A6CE6">
        <w:t> :</w:t>
      </w:r>
    </w:p>
    <w:p w14:paraId="2058019E" w14:textId="7096CFEB" w:rsidR="006D368F" w:rsidRDefault="007A6CE6" w:rsidP="007A6CE6">
      <w:pPr>
        <w:pStyle w:val="ListParagraph"/>
        <w:numPr>
          <w:ilvl w:val="1"/>
          <w:numId w:val="4"/>
        </w:numPr>
        <w:spacing w:line="240" w:lineRule="auto"/>
      </w:pPr>
      <w:proofErr w:type="spellStart"/>
      <w:r w:rsidRPr="007A6CE6">
        <w:rPr>
          <w:u w:val="single"/>
        </w:rPr>
        <w:t>Comp</w:t>
      </w:r>
      <w:proofErr w:type="spellEnd"/>
      <w:r w:rsidRPr="007A6CE6">
        <w:rPr>
          <w:u w:val="single"/>
        </w:rPr>
        <w:t xml:space="preserve"> 1</w:t>
      </w:r>
      <w:r>
        <w:t xml:space="preserve"> - C</w:t>
      </w:r>
      <w:r w:rsidR="006D368F" w:rsidRPr="006D368F">
        <w:t>ommunications,</w:t>
      </w:r>
      <w:r w:rsidR="00D83C63">
        <w:t xml:space="preserve"> C4D,</w:t>
      </w:r>
      <w:r w:rsidR="006D368F" w:rsidRPr="006D368F">
        <w:t xml:space="preserve"> sciences sociales, journalisme, genre, droits humains, </w:t>
      </w:r>
      <w:r w:rsidR="00426480" w:rsidRPr="006D368F">
        <w:t>etc.</w:t>
      </w:r>
    </w:p>
    <w:p w14:paraId="28500D68" w14:textId="508AA09D" w:rsidR="007A6CE6" w:rsidRDefault="007A6CE6" w:rsidP="007A6CE6">
      <w:pPr>
        <w:pStyle w:val="ListParagraph"/>
        <w:numPr>
          <w:ilvl w:val="1"/>
          <w:numId w:val="4"/>
        </w:numPr>
        <w:spacing w:line="240" w:lineRule="auto"/>
      </w:pPr>
      <w:proofErr w:type="spellStart"/>
      <w:r>
        <w:rPr>
          <w:u w:val="single"/>
        </w:rPr>
        <w:t>Comp</w:t>
      </w:r>
      <w:proofErr w:type="spellEnd"/>
      <w:r>
        <w:rPr>
          <w:u w:val="single"/>
        </w:rPr>
        <w:t xml:space="preserve"> 2</w:t>
      </w:r>
      <w:r>
        <w:t xml:space="preserve"> - M</w:t>
      </w:r>
      <w:r w:rsidRPr="007A6CE6">
        <w:t>édi</w:t>
      </w:r>
      <w:r w:rsidR="001C1C47">
        <w:t>cine, économie, pharmacie, santé</w:t>
      </w:r>
      <w:r w:rsidRPr="007A6CE6">
        <w:t xml:space="preserve"> publique, logistique, c</w:t>
      </w:r>
      <w:r>
        <w:t>haine d’approvisionnement, etc.</w:t>
      </w:r>
    </w:p>
    <w:p w14:paraId="214DB48B" w14:textId="3E639398" w:rsidR="007A6CE6" w:rsidRDefault="007A6CE6" w:rsidP="001C1C47">
      <w:pPr>
        <w:pStyle w:val="ListParagraph"/>
        <w:numPr>
          <w:ilvl w:val="1"/>
          <w:numId w:val="4"/>
        </w:numPr>
        <w:spacing w:line="240" w:lineRule="auto"/>
      </w:pPr>
      <w:proofErr w:type="spellStart"/>
      <w:r>
        <w:rPr>
          <w:u w:val="single"/>
        </w:rPr>
        <w:t>Comp</w:t>
      </w:r>
      <w:proofErr w:type="spellEnd"/>
      <w:r>
        <w:rPr>
          <w:u w:val="single"/>
        </w:rPr>
        <w:t xml:space="preserve"> 3 </w:t>
      </w:r>
      <w:r w:rsidRPr="007A6CE6">
        <w:t>-</w:t>
      </w:r>
      <w:r>
        <w:t xml:space="preserve"> </w:t>
      </w:r>
      <w:r w:rsidR="001C1C47" w:rsidRPr="001C1C47">
        <w:t xml:space="preserve"> </w:t>
      </w:r>
      <w:r w:rsidR="001C1C47">
        <w:t>S</w:t>
      </w:r>
      <w:r w:rsidR="001C1C47" w:rsidRPr="001C1C47">
        <w:t>tatistiques, étude</w:t>
      </w:r>
      <w:r w:rsidR="001C1C47">
        <w:t>s démographiques,</w:t>
      </w:r>
      <w:r w:rsidR="001C1C47" w:rsidRPr="001C1C47">
        <w:t xml:space="preserve"> santé publique, économie  et ou toute autre diplôme en science sociale</w:t>
      </w:r>
      <w:r w:rsidR="001C1C47">
        <w:t xml:space="preserve"> apparenté.</w:t>
      </w:r>
    </w:p>
    <w:p w14:paraId="6B42C37E" w14:textId="77777777" w:rsidR="003B53F2" w:rsidRDefault="003B53F2" w:rsidP="004F25D7">
      <w:pPr>
        <w:pStyle w:val="ListParagraph"/>
        <w:numPr>
          <w:ilvl w:val="0"/>
          <w:numId w:val="4"/>
        </w:numPr>
        <w:spacing w:line="240" w:lineRule="auto"/>
      </w:pPr>
      <w:r>
        <w:t>M</w:t>
      </w:r>
      <w:r w:rsidRPr="003B53F2">
        <w:t>aîtrise</w:t>
      </w:r>
      <w:r>
        <w:t xml:space="preserve"> professionnel</w:t>
      </w:r>
      <w:r w:rsidRPr="003B53F2">
        <w:t xml:space="preserve"> </w:t>
      </w:r>
      <w:r w:rsidR="00D2211B">
        <w:t xml:space="preserve"> démontré</w:t>
      </w:r>
      <w:r>
        <w:t xml:space="preserve"> en </w:t>
      </w:r>
      <w:r w:rsidRPr="003B53F2">
        <w:t>français</w:t>
      </w:r>
      <w:r>
        <w:t xml:space="preserve"> et en anglais est obligatoire</w:t>
      </w:r>
    </w:p>
    <w:p w14:paraId="7B52A258" w14:textId="77777777" w:rsidR="00D2211B" w:rsidRDefault="00D2211B" w:rsidP="004F25D7">
      <w:pPr>
        <w:pStyle w:val="ListParagraph"/>
        <w:numPr>
          <w:ilvl w:val="0"/>
          <w:numId w:val="4"/>
        </w:numPr>
        <w:spacing w:line="240" w:lineRule="auto"/>
      </w:pPr>
      <w:r>
        <w:t>Expérience précédente démontré dans l’Afrique de l’Ouest et du Centre est obligatoire</w:t>
      </w:r>
    </w:p>
    <w:p w14:paraId="2C2B07A0" w14:textId="36362BEB" w:rsidR="00D2211B" w:rsidRDefault="00D2211B" w:rsidP="004F25D7">
      <w:pPr>
        <w:pStyle w:val="ListParagraph"/>
        <w:numPr>
          <w:ilvl w:val="0"/>
          <w:numId w:val="4"/>
        </w:numPr>
        <w:spacing w:line="240" w:lineRule="auto"/>
      </w:pPr>
      <w:r>
        <w:t>Expérience précédente</w:t>
      </w:r>
      <w:r w:rsidRPr="00D2211B">
        <w:t xml:space="preserve"> </w:t>
      </w:r>
      <w:r>
        <w:t>démontré da</w:t>
      </w:r>
      <w:r w:rsidR="004064AF">
        <w:t>ns les pays SWEDD / le Sahel sera</w:t>
      </w:r>
      <w:r>
        <w:t xml:space="preserve"> un atout</w:t>
      </w:r>
    </w:p>
    <w:p w14:paraId="09D05022" w14:textId="77777777" w:rsidR="00A70B08" w:rsidRDefault="00A70B08" w:rsidP="004F25D7">
      <w:pPr>
        <w:pStyle w:val="ListParagraph"/>
        <w:numPr>
          <w:ilvl w:val="0"/>
          <w:numId w:val="4"/>
        </w:numPr>
        <w:spacing w:line="240" w:lineRule="auto"/>
      </w:pPr>
      <w:r>
        <w:t>Expérience précédente</w:t>
      </w:r>
      <w:r w:rsidRPr="00D2211B">
        <w:t xml:space="preserve"> </w:t>
      </w:r>
      <w:r>
        <w:t>démontré comme consultant aux Nations Unies sera un atout</w:t>
      </w:r>
    </w:p>
    <w:p w14:paraId="179ED503" w14:textId="77777777" w:rsidR="00524800" w:rsidRDefault="00A70B08" w:rsidP="00C4361D">
      <w:pPr>
        <w:pStyle w:val="ListParagraph"/>
        <w:numPr>
          <w:ilvl w:val="0"/>
          <w:numId w:val="4"/>
        </w:numPr>
        <w:spacing w:line="240" w:lineRule="auto"/>
      </w:pPr>
      <w:r>
        <w:t>Expérience précédente</w:t>
      </w:r>
      <w:r w:rsidRPr="00D2211B">
        <w:t xml:space="preserve"> </w:t>
      </w:r>
      <w:r>
        <w:t xml:space="preserve">démontré comme consultant </w:t>
      </w:r>
      <w:r w:rsidR="00EB7460">
        <w:t>à</w:t>
      </w:r>
      <w:r>
        <w:t xml:space="preserve"> l’UNFPA sera un atout</w:t>
      </w:r>
    </w:p>
    <w:p w14:paraId="435E9175" w14:textId="77777777" w:rsidR="00C4361D" w:rsidRDefault="00C4361D" w:rsidP="00C4361D">
      <w:pPr>
        <w:pStyle w:val="ListParagraph"/>
        <w:spacing w:line="240" w:lineRule="auto"/>
      </w:pPr>
    </w:p>
    <w:p w14:paraId="71B671E4" w14:textId="77777777" w:rsidR="002E6254" w:rsidRDefault="002E6254" w:rsidP="000053FD">
      <w:pPr>
        <w:pStyle w:val="ListParagraph"/>
        <w:numPr>
          <w:ilvl w:val="0"/>
          <w:numId w:val="2"/>
        </w:numPr>
        <w:spacing w:line="240" w:lineRule="auto"/>
        <w:rPr>
          <w:b/>
        </w:rPr>
      </w:pPr>
      <w:r>
        <w:rPr>
          <w:b/>
        </w:rPr>
        <w:t>PROCEDURES POUR SOUMISSION</w:t>
      </w:r>
    </w:p>
    <w:p w14:paraId="7F3C29CA" w14:textId="1A64B9BD" w:rsidR="00C025CF" w:rsidRDefault="008D5C58" w:rsidP="004F25D7">
      <w:pPr>
        <w:spacing w:line="240" w:lineRule="auto"/>
        <w:rPr>
          <w:lang w:val="fr-FR"/>
        </w:rPr>
      </w:pPr>
      <w:r w:rsidRPr="008D5C58">
        <w:rPr>
          <w:lang w:val="fr-FR"/>
        </w:rPr>
        <w:t>Les candidatures (</w:t>
      </w:r>
      <w:r w:rsidR="00A30C02">
        <w:rPr>
          <w:lang w:val="fr-FR"/>
        </w:rPr>
        <w:t xml:space="preserve">comprenant </w:t>
      </w:r>
      <w:r w:rsidRPr="002D445C">
        <w:rPr>
          <w:b/>
          <w:u w:val="single"/>
          <w:lang w:val="fr-FR"/>
        </w:rPr>
        <w:t>CV, lettre d’accompagnent complété, et lettre de motivation</w:t>
      </w:r>
      <w:r w:rsidRPr="008D5C58">
        <w:rPr>
          <w:lang w:val="fr-FR"/>
        </w:rPr>
        <w:t xml:space="preserve">) doit être envoyé à l’adresse </w:t>
      </w:r>
      <w:hyperlink r:id="rId11" w:history="1">
        <w:r w:rsidRPr="00C025CF">
          <w:rPr>
            <w:rStyle w:val="Hyperlink"/>
            <w:lang w:val="fr-FR"/>
          </w:rPr>
          <w:t>unfpa.wcaro.recruitment@unfpa.org</w:t>
        </w:r>
      </w:hyperlink>
      <w:r w:rsidRPr="008D5C58">
        <w:rPr>
          <w:lang w:val="fr-FR"/>
        </w:rPr>
        <w:t xml:space="preserve"> pas plus tard que </w:t>
      </w:r>
      <w:r w:rsidR="00276AE2">
        <w:rPr>
          <w:lang w:val="fr-FR"/>
        </w:rPr>
        <w:t xml:space="preserve">le </w:t>
      </w:r>
      <w:r w:rsidR="00776DE5">
        <w:rPr>
          <w:b/>
          <w:lang w:val="fr-FR"/>
        </w:rPr>
        <w:t>31</w:t>
      </w:r>
      <w:r w:rsidR="00276AE2" w:rsidRPr="00276AE2">
        <w:rPr>
          <w:b/>
          <w:lang w:val="fr-FR"/>
        </w:rPr>
        <w:t xml:space="preserve"> juillet 2020. </w:t>
      </w:r>
    </w:p>
    <w:p w14:paraId="4F32BBE0" w14:textId="77777777" w:rsidR="00065814" w:rsidRPr="00065814" w:rsidRDefault="00065814" w:rsidP="004F25D7">
      <w:pPr>
        <w:pStyle w:val="ListParagraph"/>
        <w:spacing w:line="240" w:lineRule="auto"/>
        <w:rPr>
          <w:b/>
        </w:rPr>
      </w:pPr>
    </w:p>
    <w:p w14:paraId="3485E517" w14:textId="77777777" w:rsidR="00637746" w:rsidRPr="00230463" w:rsidRDefault="00637746" w:rsidP="000053FD">
      <w:pPr>
        <w:pStyle w:val="ListParagraph"/>
        <w:numPr>
          <w:ilvl w:val="0"/>
          <w:numId w:val="2"/>
        </w:numPr>
        <w:spacing w:line="240" w:lineRule="auto"/>
      </w:pPr>
      <w:r w:rsidRPr="00230463">
        <w:rPr>
          <w:b/>
        </w:rPr>
        <w:t>DUREE DE LA VALIDITE DU ROSTER</w:t>
      </w:r>
    </w:p>
    <w:p w14:paraId="4DC1959A" w14:textId="583A3F0E" w:rsidR="00637746" w:rsidRPr="00052B3C" w:rsidRDefault="00B35AC5" w:rsidP="004F25D7">
      <w:pPr>
        <w:spacing w:line="240" w:lineRule="auto"/>
        <w:rPr>
          <w:b/>
        </w:rPr>
      </w:pPr>
      <w:r>
        <w:t>L</w:t>
      </w:r>
      <w:r w:rsidR="00637746" w:rsidRPr="00230463">
        <w:t xml:space="preserve">’inscription d’un candidat </w:t>
      </w:r>
      <w:r w:rsidR="00426480" w:rsidRPr="00230463">
        <w:t xml:space="preserve">dans le </w:t>
      </w:r>
      <w:proofErr w:type="spellStart"/>
      <w:r w:rsidR="00426480" w:rsidRPr="00230463">
        <w:t>roster</w:t>
      </w:r>
      <w:proofErr w:type="spellEnd"/>
      <w:r w:rsidR="00426480" w:rsidRPr="00230463">
        <w:t xml:space="preserve"> du SWEDD </w:t>
      </w:r>
      <w:r w:rsidR="00637746" w:rsidRPr="00230463">
        <w:t xml:space="preserve">sera valide pendant </w:t>
      </w:r>
      <w:r w:rsidR="00964A0A">
        <w:t>cinq</w:t>
      </w:r>
      <w:r w:rsidR="00964A0A" w:rsidRPr="00230463">
        <w:t xml:space="preserve"> </w:t>
      </w:r>
      <w:r w:rsidR="00637746" w:rsidRPr="00230463">
        <w:t>(</w:t>
      </w:r>
      <w:r w:rsidR="00964A0A">
        <w:t>5</w:t>
      </w:r>
      <w:r w:rsidR="00637746" w:rsidRPr="00230463">
        <w:t>) ans.</w:t>
      </w:r>
      <w:r w:rsidR="00637746">
        <w:t xml:space="preserve"> </w:t>
      </w:r>
      <w:bookmarkStart w:id="0" w:name="_GoBack"/>
      <w:bookmarkEnd w:id="0"/>
    </w:p>
    <w:sectPr w:rsidR="00637746" w:rsidRPr="00052B3C">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A91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FB6F" w14:textId="77777777" w:rsidR="0031737D" w:rsidRDefault="0031737D" w:rsidP="0000288C">
      <w:pPr>
        <w:spacing w:after="0" w:line="240" w:lineRule="auto"/>
      </w:pPr>
      <w:r>
        <w:separator/>
      </w:r>
    </w:p>
  </w:endnote>
  <w:endnote w:type="continuationSeparator" w:id="0">
    <w:p w14:paraId="614F9207" w14:textId="77777777" w:rsidR="0031737D" w:rsidRDefault="0031737D" w:rsidP="0000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5833" w14:textId="77777777" w:rsidR="0031737D" w:rsidRDefault="0031737D" w:rsidP="0000288C">
      <w:pPr>
        <w:spacing w:after="0" w:line="240" w:lineRule="auto"/>
      </w:pPr>
      <w:r>
        <w:separator/>
      </w:r>
    </w:p>
  </w:footnote>
  <w:footnote w:type="continuationSeparator" w:id="0">
    <w:p w14:paraId="4E6EC5D2" w14:textId="77777777" w:rsidR="0031737D" w:rsidRDefault="0031737D" w:rsidP="0000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tblBorders>
        <w:insideH w:val="single" w:sz="4" w:space="0" w:color="auto"/>
      </w:tblBorders>
      <w:tblLook w:val="04A0" w:firstRow="1" w:lastRow="0" w:firstColumn="1" w:lastColumn="0" w:noHBand="0" w:noVBand="1"/>
    </w:tblPr>
    <w:tblGrid>
      <w:gridCol w:w="2448"/>
      <w:gridCol w:w="3941"/>
      <w:gridCol w:w="3187"/>
    </w:tblGrid>
    <w:tr w:rsidR="0000288C" w:rsidRPr="00622485" w14:paraId="56B75B8F" w14:textId="77777777" w:rsidTr="0000288C">
      <w:trPr>
        <w:trHeight w:val="1075"/>
      </w:trPr>
      <w:tc>
        <w:tcPr>
          <w:tcW w:w="2448" w:type="dxa"/>
          <w:shd w:val="clear" w:color="auto" w:fill="auto"/>
        </w:tcPr>
        <w:p w14:paraId="1941DAC3" w14:textId="77777777" w:rsidR="0000288C" w:rsidRPr="00D6687E" w:rsidRDefault="0000288C" w:rsidP="007C3A94">
          <w:pPr>
            <w:pStyle w:val="Header"/>
            <w:rPr>
              <w:rFonts w:cs="Arial"/>
            </w:rPr>
          </w:pPr>
          <w:r>
            <w:rPr>
              <w:rFonts w:ascii="Arial Narrow" w:hAnsi="Arial Narrow" w:cs="Arial"/>
              <w:noProof/>
              <w:lang w:val="fr-FR" w:eastAsia="fr-FR"/>
            </w:rPr>
            <w:drawing>
              <wp:inline distT="0" distB="0" distL="0" distR="0" wp14:anchorId="1AD4D2AC" wp14:editId="71A2DA49">
                <wp:extent cx="1112520" cy="517525"/>
                <wp:effectExtent l="0" t="0" r="0" b="0"/>
                <wp:docPr id="4" name="Picture 4" descr="Description: 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17525"/>
                        </a:xfrm>
                        <a:prstGeom prst="rect">
                          <a:avLst/>
                        </a:prstGeom>
                        <a:noFill/>
                        <a:ln>
                          <a:noFill/>
                        </a:ln>
                      </pic:spPr>
                    </pic:pic>
                  </a:graphicData>
                </a:graphic>
              </wp:inline>
            </w:drawing>
          </w:r>
        </w:p>
      </w:tc>
      <w:tc>
        <w:tcPr>
          <w:tcW w:w="3941" w:type="dxa"/>
        </w:tcPr>
        <w:p w14:paraId="0E722390" w14:textId="77777777" w:rsidR="0000288C" w:rsidRPr="0000288C" w:rsidRDefault="0000288C" w:rsidP="0000288C">
          <w:pPr>
            <w:pStyle w:val="Header"/>
            <w:jc w:val="center"/>
            <w:rPr>
              <w:rFonts w:ascii="Calibri" w:hAnsi="Calibri" w:cs="Arial"/>
              <w:sz w:val="16"/>
              <w:szCs w:val="16"/>
              <w:lang w:val="en-US"/>
            </w:rPr>
          </w:pPr>
          <w:r w:rsidRPr="003869D4">
            <w:rPr>
              <w:noProof/>
              <w:lang w:val="fr-FR" w:eastAsia="fr-FR"/>
            </w:rPr>
            <w:drawing>
              <wp:inline distT="0" distB="0" distL="0" distR="0" wp14:anchorId="0F9D1F81" wp14:editId="19CE4A71">
                <wp:extent cx="1190625" cy="577273"/>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493" cy="584967"/>
                        </a:xfrm>
                        <a:prstGeom prst="rect">
                          <a:avLst/>
                        </a:prstGeom>
                      </pic:spPr>
                    </pic:pic>
                  </a:graphicData>
                </a:graphic>
              </wp:inline>
            </w:drawing>
          </w:r>
        </w:p>
      </w:tc>
      <w:tc>
        <w:tcPr>
          <w:tcW w:w="3187" w:type="dxa"/>
          <w:shd w:val="clear" w:color="auto" w:fill="auto"/>
        </w:tcPr>
        <w:p w14:paraId="4BCB120B" w14:textId="77777777" w:rsidR="0000288C" w:rsidRPr="0000288C" w:rsidRDefault="0000288C" w:rsidP="007C3A94">
          <w:pPr>
            <w:pStyle w:val="Header"/>
            <w:jc w:val="right"/>
            <w:rPr>
              <w:rFonts w:ascii="Calibri" w:hAnsi="Calibri" w:cs="Arial"/>
              <w:sz w:val="16"/>
              <w:szCs w:val="16"/>
              <w:lang w:val="en-US"/>
            </w:rPr>
          </w:pPr>
          <w:r w:rsidRPr="0000288C">
            <w:rPr>
              <w:rFonts w:ascii="Calibri" w:hAnsi="Calibri" w:cs="Arial"/>
              <w:sz w:val="16"/>
              <w:szCs w:val="16"/>
              <w:lang w:val="en-US"/>
            </w:rPr>
            <w:t>United Nations Population Fund</w:t>
          </w:r>
        </w:p>
        <w:p w14:paraId="48801BD1" w14:textId="77777777" w:rsidR="0000288C" w:rsidRPr="0000288C" w:rsidRDefault="0000288C" w:rsidP="007C3A94">
          <w:pPr>
            <w:pStyle w:val="Header"/>
            <w:jc w:val="right"/>
            <w:rPr>
              <w:rFonts w:ascii="Calibri" w:hAnsi="Calibri" w:cs="Arial"/>
              <w:sz w:val="16"/>
              <w:szCs w:val="16"/>
              <w:lang w:val="en-US"/>
            </w:rPr>
          </w:pPr>
          <w:r w:rsidRPr="0000288C">
            <w:rPr>
              <w:rFonts w:ascii="Calibri" w:hAnsi="Calibri" w:cs="Arial"/>
              <w:sz w:val="16"/>
              <w:szCs w:val="16"/>
              <w:lang w:val="en-US"/>
            </w:rPr>
            <w:t>West and Central Africa Regional Office</w:t>
          </w:r>
        </w:p>
        <w:p w14:paraId="75B8095F" w14:textId="77777777" w:rsidR="0000288C" w:rsidRPr="0000288C" w:rsidRDefault="0000288C" w:rsidP="007C3A94">
          <w:pPr>
            <w:pStyle w:val="Header"/>
            <w:jc w:val="right"/>
            <w:rPr>
              <w:rFonts w:ascii="Calibri" w:hAnsi="Calibri" w:cs="Arial"/>
              <w:sz w:val="16"/>
              <w:szCs w:val="16"/>
              <w:lang w:val="en-US"/>
            </w:rPr>
          </w:pPr>
          <w:r w:rsidRPr="0000288C">
            <w:rPr>
              <w:rFonts w:ascii="Calibri" w:hAnsi="Calibri" w:cs="Arial"/>
              <w:sz w:val="16"/>
              <w:szCs w:val="16"/>
              <w:lang w:val="en-US"/>
            </w:rPr>
            <w:t xml:space="preserve">BP 21090 Dakar </w:t>
          </w:r>
          <w:proofErr w:type="spellStart"/>
          <w:r w:rsidRPr="0000288C">
            <w:rPr>
              <w:rFonts w:ascii="Calibri" w:hAnsi="Calibri" w:cs="Arial"/>
              <w:sz w:val="16"/>
              <w:szCs w:val="16"/>
              <w:lang w:val="en-US"/>
            </w:rPr>
            <w:t>Ponty</w:t>
          </w:r>
          <w:proofErr w:type="spellEnd"/>
          <w:r w:rsidRPr="0000288C">
            <w:rPr>
              <w:rFonts w:ascii="Calibri" w:hAnsi="Calibri" w:cs="Arial"/>
              <w:sz w:val="16"/>
              <w:szCs w:val="16"/>
              <w:lang w:val="en-US"/>
            </w:rPr>
            <w:t>, Senegal</w:t>
          </w:r>
        </w:p>
        <w:p w14:paraId="304C89A8" w14:textId="77777777" w:rsidR="0000288C" w:rsidRPr="0000288C" w:rsidRDefault="0000288C" w:rsidP="007C3A94">
          <w:pPr>
            <w:pStyle w:val="Header"/>
            <w:jc w:val="right"/>
            <w:rPr>
              <w:rFonts w:ascii="Calibri" w:hAnsi="Calibri" w:cs="Arial"/>
              <w:sz w:val="16"/>
              <w:szCs w:val="16"/>
              <w:lang w:val="en-US"/>
            </w:rPr>
          </w:pPr>
          <w:r w:rsidRPr="0000288C">
            <w:rPr>
              <w:rFonts w:ascii="Calibri" w:hAnsi="Calibri" w:cs="Arial"/>
              <w:sz w:val="16"/>
              <w:szCs w:val="16"/>
              <w:lang w:val="en-US"/>
            </w:rPr>
            <w:t>T: +221 33 859 82 82</w:t>
          </w:r>
        </w:p>
        <w:p w14:paraId="0349CD86" w14:textId="77777777" w:rsidR="0000288C" w:rsidRPr="0000288C" w:rsidRDefault="0000288C" w:rsidP="007C3A94">
          <w:pPr>
            <w:pStyle w:val="Header"/>
            <w:jc w:val="right"/>
            <w:rPr>
              <w:rFonts w:ascii="Calibri" w:hAnsi="Calibri" w:cs="Arial"/>
              <w:sz w:val="16"/>
              <w:szCs w:val="16"/>
              <w:lang w:val="en-US"/>
            </w:rPr>
          </w:pPr>
          <w:r w:rsidRPr="0000288C">
            <w:rPr>
              <w:rFonts w:ascii="Calibri" w:hAnsi="Calibri" w:cs="Arial"/>
              <w:sz w:val="16"/>
              <w:szCs w:val="16"/>
              <w:lang w:val="en-US"/>
            </w:rPr>
            <w:t>F: +221 33 820 17 31</w:t>
          </w:r>
        </w:p>
        <w:p w14:paraId="415E38D7" w14:textId="77777777" w:rsidR="0000288C" w:rsidRPr="004C01E6" w:rsidRDefault="0000288C" w:rsidP="007C3A94">
          <w:pPr>
            <w:pStyle w:val="Header"/>
            <w:jc w:val="right"/>
            <w:rPr>
              <w:rFonts w:ascii="Calibri" w:hAnsi="Calibri" w:cs="Arial"/>
              <w:sz w:val="18"/>
              <w:szCs w:val="18"/>
              <w:lang w:val="da-DK"/>
            </w:rPr>
          </w:pPr>
          <w:r w:rsidRPr="0000288C">
            <w:rPr>
              <w:rFonts w:ascii="Calibri" w:hAnsi="Calibri" w:cs="Arial"/>
              <w:sz w:val="16"/>
              <w:szCs w:val="16"/>
              <w:lang w:val="en-US"/>
            </w:rPr>
            <w:t>www.wcaro.unfpa.org</w:t>
          </w:r>
        </w:p>
      </w:tc>
    </w:tr>
  </w:tbl>
  <w:p w14:paraId="53406A6B" w14:textId="77777777" w:rsidR="0000288C" w:rsidRPr="0000288C" w:rsidRDefault="0000288C" w:rsidP="0000288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AAB"/>
    <w:multiLevelType w:val="hybridMultilevel"/>
    <w:tmpl w:val="ECAE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86D3C"/>
    <w:multiLevelType w:val="hybridMultilevel"/>
    <w:tmpl w:val="21A03D56"/>
    <w:lvl w:ilvl="0" w:tplc="6B94AF1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4013F"/>
    <w:multiLevelType w:val="hybridMultilevel"/>
    <w:tmpl w:val="ECAE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454AD"/>
    <w:multiLevelType w:val="multilevel"/>
    <w:tmpl w:val="66C27852"/>
    <w:lvl w:ilvl="0">
      <w:start w:val="1"/>
      <w:numFmt w:val="bullet"/>
      <w:lvlText w:val=""/>
      <w:lvlJc w:val="left"/>
      <w:pPr>
        <w:ind w:left="502" w:hanging="360"/>
      </w:pPr>
      <w:rPr>
        <w:rFonts w:ascii="Symbol" w:hAnsi="Symbol"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D7F72FF"/>
    <w:multiLevelType w:val="hybridMultilevel"/>
    <w:tmpl w:val="ECAE5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B12FE"/>
    <w:multiLevelType w:val="hybridMultilevel"/>
    <w:tmpl w:val="F3D4B4A8"/>
    <w:lvl w:ilvl="0" w:tplc="3B86D3A4">
      <w:start w:val="1"/>
      <w:numFmt w:val="upperLetter"/>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B98"/>
    <w:multiLevelType w:val="hybridMultilevel"/>
    <w:tmpl w:val="76728508"/>
    <w:lvl w:ilvl="0" w:tplc="202A3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8C"/>
    <w:rsid w:val="0000288C"/>
    <w:rsid w:val="000053FD"/>
    <w:rsid w:val="00016B85"/>
    <w:rsid w:val="0002663D"/>
    <w:rsid w:val="00032695"/>
    <w:rsid w:val="00037E09"/>
    <w:rsid w:val="000522D2"/>
    <w:rsid w:val="00052B3C"/>
    <w:rsid w:val="000544A1"/>
    <w:rsid w:val="00065814"/>
    <w:rsid w:val="000B4B2B"/>
    <w:rsid w:val="000B7903"/>
    <w:rsid w:val="000C7309"/>
    <w:rsid w:val="00114E90"/>
    <w:rsid w:val="001172FB"/>
    <w:rsid w:val="00182EA1"/>
    <w:rsid w:val="0019330E"/>
    <w:rsid w:val="001A7E80"/>
    <w:rsid w:val="001C1C47"/>
    <w:rsid w:val="002220EE"/>
    <w:rsid w:val="00230463"/>
    <w:rsid w:val="00237244"/>
    <w:rsid w:val="00240057"/>
    <w:rsid w:val="002525CF"/>
    <w:rsid w:val="00261C49"/>
    <w:rsid w:val="00265CAB"/>
    <w:rsid w:val="0027217C"/>
    <w:rsid w:val="00276AE2"/>
    <w:rsid w:val="00284B38"/>
    <w:rsid w:val="00287277"/>
    <w:rsid w:val="00297BAF"/>
    <w:rsid w:val="002A0F45"/>
    <w:rsid w:val="002B24B6"/>
    <w:rsid w:val="002C012D"/>
    <w:rsid w:val="002D157C"/>
    <w:rsid w:val="002D445C"/>
    <w:rsid w:val="002E0D3E"/>
    <w:rsid w:val="002E6254"/>
    <w:rsid w:val="00300B2F"/>
    <w:rsid w:val="00303F22"/>
    <w:rsid w:val="00304B34"/>
    <w:rsid w:val="0031737D"/>
    <w:rsid w:val="00317DC1"/>
    <w:rsid w:val="003230B9"/>
    <w:rsid w:val="00327A1E"/>
    <w:rsid w:val="003451A9"/>
    <w:rsid w:val="0034731F"/>
    <w:rsid w:val="00384471"/>
    <w:rsid w:val="003942F1"/>
    <w:rsid w:val="003A7F04"/>
    <w:rsid w:val="003B53F2"/>
    <w:rsid w:val="003D39F9"/>
    <w:rsid w:val="003E3372"/>
    <w:rsid w:val="004064AF"/>
    <w:rsid w:val="00426480"/>
    <w:rsid w:val="004504B1"/>
    <w:rsid w:val="00453FEE"/>
    <w:rsid w:val="004771B8"/>
    <w:rsid w:val="004A77C6"/>
    <w:rsid w:val="004F0A97"/>
    <w:rsid w:val="004F0B6D"/>
    <w:rsid w:val="004F25D7"/>
    <w:rsid w:val="004F64AE"/>
    <w:rsid w:val="00522005"/>
    <w:rsid w:val="00524800"/>
    <w:rsid w:val="0054153B"/>
    <w:rsid w:val="005434BB"/>
    <w:rsid w:val="005672A8"/>
    <w:rsid w:val="00573DF9"/>
    <w:rsid w:val="00590EB7"/>
    <w:rsid w:val="00594966"/>
    <w:rsid w:val="005A3EE1"/>
    <w:rsid w:val="005A406E"/>
    <w:rsid w:val="005B0B6D"/>
    <w:rsid w:val="005C671F"/>
    <w:rsid w:val="005E1746"/>
    <w:rsid w:val="005F61AB"/>
    <w:rsid w:val="006065A6"/>
    <w:rsid w:val="00607A59"/>
    <w:rsid w:val="006118AA"/>
    <w:rsid w:val="00622485"/>
    <w:rsid w:val="00637746"/>
    <w:rsid w:val="00641771"/>
    <w:rsid w:val="00646199"/>
    <w:rsid w:val="006618AF"/>
    <w:rsid w:val="006761DD"/>
    <w:rsid w:val="00682492"/>
    <w:rsid w:val="006A4342"/>
    <w:rsid w:val="006D368F"/>
    <w:rsid w:val="006D3A20"/>
    <w:rsid w:val="006D4D1F"/>
    <w:rsid w:val="006D6CA6"/>
    <w:rsid w:val="006D705B"/>
    <w:rsid w:val="006F6053"/>
    <w:rsid w:val="006F7EC1"/>
    <w:rsid w:val="0070368C"/>
    <w:rsid w:val="007114C9"/>
    <w:rsid w:val="00714829"/>
    <w:rsid w:val="00714C9B"/>
    <w:rsid w:val="00715DF7"/>
    <w:rsid w:val="007164B3"/>
    <w:rsid w:val="00721980"/>
    <w:rsid w:val="00721C4A"/>
    <w:rsid w:val="00753254"/>
    <w:rsid w:val="00776DE5"/>
    <w:rsid w:val="007A38CF"/>
    <w:rsid w:val="007A6CE6"/>
    <w:rsid w:val="007B0F81"/>
    <w:rsid w:val="007D53E0"/>
    <w:rsid w:val="007E0569"/>
    <w:rsid w:val="007E28A5"/>
    <w:rsid w:val="00820BEE"/>
    <w:rsid w:val="00830961"/>
    <w:rsid w:val="008410F6"/>
    <w:rsid w:val="00884DEE"/>
    <w:rsid w:val="008A3BB8"/>
    <w:rsid w:val="008A612A"/>
    <w:rsid w:val="008B39C9"/>
    <w:rsid w:val="008B78A9"/>
    <w:rsid w:val="008D5C58"/>
    <w:rsid w:val="00903D40"/>
    <w:rsid w:val="00914EF6"/>
    <w:rsid w:val="00931F4D"/>
    <w:rsid w:val="009505DF"/>
    <w:rsid w:val="00953B37"/>
    <w:rsid w:val="00964A0A"/>
    <w:rsid w:val="00965880"/>
    <w:rsid w:val="009D0F75"/>
    <w:rsid w:val="009D3758"/>
    <w:rsid w:val="009E4457"/>
    <w:rsid w:val="009E60C6"/>
    <w:rsid w:val="00A26DE0"/>
    <w:rsid w:val="00A30C02"/>
    <w:rsid w:val="00A333BF"/>
    <w:rsid w:val="00A70B08"/>
    <w:rsid w:val="00A77C77"/>
    <w:rsid w:val="00AA4C59"/>
    <w:rsid w:val="00AC416B"/>
    <w:rsid w:val="00AD03E6"/>
    <w:rsid w:val="00AD0554"/>
    <w:rsid w:val="00AF574C"/>
    <w:rsid w:val="00B039EF"/>
    <w:rsid w:val="00B25219"/>
    <w:rsid w:val="00B35AC5"/>
    <w:rsid w:val="00B35F6B"/>
    <w:rsid w:val="00B37BBB"/>
    <w:rsid w:val="00B73BBF"/>
    <w:rsid w:val="00BB1462"/>
    <w:rsid w:val="00BB1BC5"/>
    <w:rsid w:val="00BC5877"/>
    <w:rsid w:val="00C025CF"/>
    <w:rsid w:val="00C3399E"/>
    <w:rsid w:val="00C4361D"/>
    <w:rsid w:val="00C51DD3"/>
    <w:rsid w:val="00C564D1"/>
    <w:rsid w:val="00C71C1A"/>
    <w:rsid w:val="00CC2221"/>
    <w:rsid w:val="00CC7131"/>
    <w:rsid w:val="00CC7366"/>
    <w:rsid w:val="00CC764B"/>
    <w:rsid w:val="00CD3B4F"/>
    <w:rsid w:val="00CD5984"/>
    <w:rsid w:val="00CE742A"/>
    <w:rsid w:val="00CF2EF3"/>
    <w:rsid w:val="00D2211B"/>
    <w:rsid w:val="00D27F60"/>
    <w:rsid w:val="00D421F9"/>
    <w:rsid w:val="00D572BE"/>
    <w:rsid w:val="00D66F1B"/>
    <w:rsid w:val="00D75339"/>
    <w:rsid w:val="00D83C63"/>
    <w:rsid w:val="00DB78F3"/>
    <w:rsid w:val="00DC0B51"/>
    <w:rsid w:val="00DD289C"/>
    <w:rsid w:val="00DE2150"/>
    <w:rsid w:val="00DF1013"/>
    <w:rsid w:val="00E32F12"/>
    <w:rsid w:val="00E40E8F"/>
    <w:rsid w:val="00E74B02"/>
    <w:rsid w:val="00E76344"/>
    <w:rsid w:val="00E95D39"/>
    <w:rsid w:val="00EB7460"/>
    <w:rsid w:val="00EB7FA3"/>
    <w:rsid w:val="00EE6D63"/>
    <w:rsid w:val="00F044C5"/>
    <w:rsid w:val="00F32816"/>
    <w:rsid w:val="00F64210"/>
    <w:rsid w:val="00F80456"/>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8C"/>
    <w:pPr>
      <w:spacing w:after="160" w:line="259"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00288C"/>
    <w:pPr>
      <w:spacing w:after="200" w:line="276" w:lineRule="auto"/>
      <w:ind w:left="720"/>
      <w:contextualSpacing/>
    </w:pPr>
    <w:rPr>
      <w:rFonts w:ascii="Calibri" w:eastAsia="Calibri" w:hAnsi="Calibri" w:cs="Times New Roman"/>
      <w:lang w:val="fr-FR"/>
    </w:rPr>
  </w:style>
  <w:style w:type="character" w:customStyle="1" w:styleId="ListParagraphChar">
    <w:name w:val="List Paragraph Char"/>
    <w:aliases w:val="Bullets Char"/>
    <w:link w:val="ListParagraph"/>
    <w:uiPriority w:val="34"/>
    <w:rsid w:val="0000288C"/>
    <w:rPr>
      <w:rFonts w:ascii="Calibri" w:eastAsia="Calibri" w:hAnsi="Calibri" w:cs="Times New Roman"/>
      <w:lang w:val="fr-FR"/>
    </w:rPr>
  </w:style>
  <w:style w:type="paragraph" w:styleId="BalloonText">
    <w:name w:val="Balloon Text"/>
    <w:basedOn w:val="Normal"/>
    <w:link w:val="BalloonTextChar"/>
    <w:uiPriority w:val="99"/>
    <w:semiHidden/>
    <w:unhideWhenUsed/>
    <w:rsid w:val="0000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8C"/>
    <w:rPr>
      <w:rFonts w:ascii="Tahoma" w:hAnsi="Tahoma" w:cs="Tahoma"/>
      <w:sz w:val="16"/>
      <w:szCs w:val="16"/>
      <w:lang w:val="fr-CA"/>
    </w:rPr>
  </w:style>
  <w:style w:type="paragraph" w:styleId="Header">
    <w:name w:val="header"/>
    <w:basedOn w:val="Normal"/>
    <w:link w:val="HeaderChar"/>
    <w:unhideWhenUsed/>
    <w:rsid w:val="0000288C"/>
    <w:pPr>
      <w:tabs>
        <w:tab w:val="center" w:pos="4680"/>
        <w:tab w:val="right" w:pos="9360"/>
      </w:tabs>
      <w:spacing w:after="0" w:line="240" w:lineRule="auto"/>
    </w:pPr>
  </w:style>
  <w:style w:type="character" w:customStyle="1" w:styleId="HeaderChar">
    <w:name w:val="Header Char"/>
    <w:basedOn w:val="DefaultParagraphFont"/>
    <w:link w:val="Header"/>
    <w:rsid w:val="0000288C"/>
    <w:rPr>
      <w:lang w:val="fr-CA"/>
    </w:rPr>
  </w:style>
  <w:style w:type="paragraph" w:styleId="Footer">
    <w:name w:val="footer"/>
    <w:basedOn w:val="Normal"/>
    <w:link w:val="FooterChar"/>
    <w:uiPriority w:val="99"/>
    <w:unhideWhenUsed/>
    <w:rsid w:val="0000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8C"/>
    <w:rPr>
      <w:lang w:val="fr-CA"/>
    </w:rPr>
  </w:style>
  <w:style w:type="character" w:styleId="CommentReference">
    <w:name w:val="annotation reference"/>
    <w:basedOn w:val="DefaultParagraphFont"/>
    <w:uiPriority w:val="99"/>
    <w:semiHidden/>
    <w:unhideWhenUsed/>
    <w:rsid w:val="004F0B6D"/>
    <w:rPr>
      <w:sz w:val="16"/>
      <w:szCs w:val="16"/>
    </w:rPr>
  </w:style>
  <w:style w:type="paragraph" w:styleId="CommentText">
    <w:name w:val="annotation text"/>
    <w:basedOn w:val="Normal"/>
    <w:link w:val="CommentTextChar"/>
    <w:uiPriority w:val="99"/>
    <w:semiHidden/>
    <w:unhideWhenUsed/>
    <w:rsid w:val="004F0B6D"/>
    <w:pPr>
      <w:spacing w:line="240" w:lineRule="auto"/>
    </w:pPr>
    <w:rPr>
      <w:sz w:val="20"/>
      <w:szCs w:val="20"/>
    </w:rPr>
  </w:style>
  <w:style w:type="character" w:customStyle="1" w:styleId="CommentTextChar">
    <w:name w:val="Comment Text Char"/>
    <w:basedOn w:val="DefaultParagraphFont"/>
    <w:link w:val="CommentText"/>
    <w:uiPriority w:val="99"/>
    <w:semiHidden/>
    <w:rsid w:val="004F0B6D"/>
    <w:rPr>
      <w:sz w:val="20"/>
      <w:szCs w:val="20"/>
      <w:lang w:val="fr-CA"/>
    </w:rPr>
  </w:style>
  <w:style w:type="paragraph" w:styleId="CommentSubject">
    <w:name w:val="annotation subject"/>
    <w:basedOn w:val="CommentText"/>
    <w:next w:val="CommentText"/>
    <w:link w:val="CommentSubjectChar"/>
    <w:uiPriority w:val="99"/>
    <w:semiHidden/>
    <w:unhideWhenUsed/>
    <w:rsid w:val="004F0B6D"/>
    <w:rPr>
      <w:b/>
      <w:bCs/>
    </w:rPr>
  </w:style>
  <w:style w:type="character" w:customStyle="1" w:styleId="CommentSubjectChar">
    <w:name w:val="Comment Subject Char"/>
    <w:basedOn w:val="CommentTextChar"/>
    <w:link w:val="CommentSubject"/>
    <w:uiPriority w:val="99"/>
    <w:semiHidden/>
    <w:rsid w:val="004F0B6D"/>
    <w:rPr>
      <w:b/>
      <w:bCs/>
      <w:sz w:val="20"/>
      <w:szCs w:val="20"/>
      <w:lang w:val="fr-CA"/>
    </w:rPr>
  </w:style>
  <w:style w:type="table" w:styleId="TableGrid">
    <w:name w:val="Table Grid"/>
    <w:basedOn w:val="TableNormal"/>
    <w:uiPriority w:val="59"/>
    <w:rsid w:val="00753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4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8C"/>
    <w:pPr>
      <w:spacing w:after="160" w:line="259"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00288C"/>
    <w:pPr>
      <w:spacing w:after="200" w:line="276" w:lineRule="auto"/>
      <w:ind w:left="720"/>
      <w:contextualSpacing/>
    </w:pPr>
    <w:rPr>
      <w:rFonts w:ascii="Calibri" w:eastAsia="Calibri" w:hAnsi="Calibri" w:cs="Times New Roman"/>
      <w:lang w:val="fr-FR"/>
    </w:rPr>
  </w:style>
  <w:style w:type="character" w:customStyle="1" w:styleId="ListParagraphChar">
    <w:name w:val="List Paragraph Char"/>
    <w:aliases w:val="Bullets Char"/>
    <w:link w:val="ListParagraph"/>
    <w:uiPriority w:val="34"/>
    <w:rsid w:val="0000288C"/>
    <w:rPr>
      <w:rFonts w:ascii="Calibri" w:eastAsia="Calibri" w:hAnsi="Calibri" w:cs="Times New Roman"/>
      <w:lang w:val="fr-FR"/>
    </w:rPr>
  </w:style>
  <w:style w:type="paragraph" w:styleId="BalloonText">
    <w:name w:val="Balloon Text"/>
    <w:basedOn w:val="Normal"/>
    <w:link w:val="BalloonTextChar"/>
    <w:uiPriority w:val="99"/>
    <w:semiHidden/>
    <w:unhideWhenUsed/>
    <w:rsid w:val="0000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8C"/>
    <w:rPr>
      <w:rFonts w:ascii="Tahoma" w:hAnsi="Tahoma" w:cs="Tahoma"/>
      <w:sz w:val="16"/>
      <w:szCs w:val="16"/>
      <w:lang w:val="fr-CA"/>
    </w:rPr>
  </w:style>
  <w:style w:type="paragraph" w:styleId="Header">
    <w:name w:val="header"/>
    <w:basedOn w:val="Normal"/>
    <w:link w:val="HeaderChar"/>
    <w:unhideWhenUsed/>
    <w:rsid w:val="0000288C"/>
    <w:pPr>
      <w:tabs>
        <w:tab w:val="center" w:pos="4680"/>
        <w:tab w:val="right" w:pos="9360"/>
      </w:tabs>
      <w:spacing w:after="0" w:line="240" w:lineRule="auto"/>
    </w:pPr>
  </w:style>
  <w:style w:type="character" w:customStyle="1" w:styleId="HeaderChar">
    <w:name w:val="Header Char"/>
    <w:basedOn w:val="DefaultParagraphFont"/>
    <w:link w:val="Header"/>
    <w:rsid w:val="0000288C"/>
    <w:rPr>
      <w:lang w:val="fr-CA"/>
    </w:rPr>
  </w:style>
  <w:style w:type="paragraph" w:styleId="Footer">
    <w:name w:val="footer"/>
    <w:basedOn w:val="Normal"/>
    <w:link w:val="FooterChar"/>
    <w:uiPriority w:val="99"/>
    <w:unhideWhenUsed/>
    <w:rsid w:val="0000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8C"/>
    <w:rPr>
      <w:lang w:val="fr-CA"/>
    </w:rPr>
  </w:style>
  <w:style w:type="character" w:styleId="CommentReference">
    <w:name w:val="annotation reference"/>
    <w:basedOn w:val="DefaultParagraphFont"/>
    <w:uiPriority w:val="99"/>
    <w:semiHidden/>
    <w:unhideWhenUsed/>
    <w:rsid w:val="004F0B6D"/>
    <w:rPr>
      <w:sz w:val="16"/>
      <w:szCs w:val="16"/>
    </w:rPr>
  </w:style>
  <w:style w:type="paragraph" w:styleId="CommentText">
    <w:name w:val="annotation text"/>
    <w:basedOn w:val="Normal"/>
    <w:link w:val="CommentTextChar"/>
    <w:uiPriority w:val="99"/>
    <w:semiHidden/>
    <w:unhideWhenUsed/>
    <w:rsid w:val="004F0B6D"/>
    <w:pPr>
      <w:spacing w:line="240" w:lineRule="auto"/>
    </w:pPr>
    <w:rPr>
      <w:sz w:val="20"/>
      <w:szCs w:val="20"/>
    </w:rPr>
  </w:style>
  <w:style w:type="character" w:customStyle="1" w:styleId="CommentTextChar">
    <w:name w:val="Comment Text Char"/>
    <w:basedOn w:val="DefaultParagraphFont"/>
    <w:link w:val="CommentText"/>
    <w:uiPriority w:val="99"/>
    <w:semiHidden/>
    <w:rsid w:val="004F0B6D"/>
    <w:rPr>
      <w:sz w:val="20"/>
      <w:szCs w:val="20"/>
      <w:lang w:val="fr-CA"/>
    </w:rPr>
  </w:style>
  <w:style w:type="paragraph" w:styleId="CommentSubject">
    <w:name w:val="annotation subject"/>
    <w:basedOn w:val="CommentText"/>
    <w:next w:val="CommentText"/>
    <w:link w:val="CommentSubjectChar"/>
    <w:uiPriority w:val="99"/>
    <w:semiHidden/>
    <w:unhideWhenUsed/>
    <w:rsid w:val="004F0B6D"/>
    <w:rPr>
      <w:b/>
      <w:bCs/>
    </w:rPr>
  </w:style>
  <w:style w:type="character" w:customStyle="1" w:styleId="CommentSubjectChar">
    <w:name w:val="Comment Subject Char"/>
    <w:basedOn w:val="CommentTextChar"/>
    <w:link w:val="CommentSubject"/>
    <w:uiPriority w:val="99"/>
    <w:semiHidden/>
    <w:rsid w:val="004F0B6D"/>
    <w:rPr>
      <w:b/>
      <w:bCs/>
      <w:sz w:val="20"/>
      <w:szCs w:val="20"/>
      <w:lang w:val="fr-CA"/>
    </w:rPr>
  </w:style>
  <w:style w:type="table" w:styleId="TableGrid">
    <w:name w:val="Table Grid"/>
    <w:basedOn w:val="TableNormal"/>
    <w:uiPriority w:val="59"/>
    <w:rsid w:val="00753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4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fpa.wcaro.recruitment@unfpa.org"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rojetswedd.org/" TargetMode="External"/><Relationship Id="rId4" Type="http://schemas.microsoft.com/office/2007/relationships/stylesWithEffects" Target="stylesWithEffects.xml"/><Relationship Id="rId9" Type="http://schemas.openxmlformats.org/officeDocument/2006/relationships/hyperlink" Target="https://wcaro.unfpa.org/fr/swed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D63F-DE34-4E5C-AF21-6F0FE0CA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Bolinger</dc:creator>
  <cp:lastModifiedBy>User</cp:lastModifiedBy>
  <cp:revision>3</cp:revision>
  <dcterms:created xsi:type="dcterms:W3CDTF">2020-07-06T16:47:00Z</dcterms:created>
  <dcterms:modified xsi:type="dcterms:W3CDTF">2020-07-06T16:49:00Z</dcterms:modified>
</cp:coreProperties>
</file>